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249F4" w14:textId="76C09629" w:rsidR="004B1D08" w:rsidRPr="008E0D45" w:rsidRDefault="00D34129" w:rsidP="006E2366">
      <w:pPr>
        <w:pBdr>
          <w:bottom w:val="single" w:sz="4" w:space="1" w:color="auto"/>
        </w:pBdr>
        <w:rPr>
          <w:b/>
          <w:bCs/>
          <w:sz w:val="32"/>
          <w:szCs w:val="32"/>
        </w:rPr>
      </w:pPr>
      <w:r w:rsidRPr="008E0D45">
        <w:rPr>
          <w:b/>
          <w:bCs/>
          <w:sz w:val="32"/>
          <w:szCs w:val="32"/>
        </w:rPr>
        <w:t>REVENUE AND RATING PLAN FACT SHEET</w:t>
      </w:r>
    </w:p>
    <w:p w14:paraId="2E524E20" w14:textId="489C7986" w:rsidR="00633235" w:rsidRPr="00633235" w:rsidRDefault="00633235">
      <w:r w:rsidRPr="00633235">
        <w:t xml:space="preserve">This fact sheet </w:t>
      </w:r>
      <w:r>
        <w:t xml:space="preserve">has been designed </w:t>
      </w:r>
      <w:r w:rsidRPr="00633235">
        <w:t xml:space="preserve">to be read in conjunction with the Revenue and Rating Plan survey: </w:t>
      </w:r>
      <w:hyperlink r:id="rId11" w:history="1">
        <w:r>
          <w:rPr>
            <w:rStyle w:val="Hyperlink"/>
          </w:rPr>
          <w:t>https://survey.alchemer.com/s3/6439800/Revenue-and-Rating</w:t>
        </w:r>
      </w:hyperlink>
    </w:p>
    <w:p w14:paraId="718E56CE" w14:textId="7FC7C80B" w:rsidR="00D34129" w:rsidRDefault="00237C09" w:rsidP="00633235">
      <w:pPr>
        <w:spacing w:after="120"/>
        <w:rPr>
          <w:b/>
          <w:bCs/>
        </w:rPr>
      </w:pPr>
      <w:r>
        <w:rPr>
          <w:b/>
          <w:bCs/>
        </w:rPr>
        <w:t>OVERVIEW AND PURPOSE</w:t>
      </w:r>
    </w:p>
    <w:p w14:paraId="638CBAB7" w14:textId="220DB749" w:rsidR="00D34129" w:rsidRPr="00237C09" w:rsidRDefault="00D34129" w:rsidP="00633235">
      <w:pPr>
        <w:pStyle w:val="BodyText"/>
        <w:spacing w:before="60"/>
        <w:jc w:val="both"/>
        <w:rPr>
          <w:rFonts w:ascii="Arial" w:hAnsi="Arial" w:cs="Arial"/>
        </w:rPr>
      </w:pPr>
      <w:r w:rsidRPr="00237C09">
        <w:rPr>
          <w:rFonts w:ascii="Arial" w:hAnsi="Arial" w:cs="Arial"/>
        </w:rPr>
        <w:t>The purpose of the Revenue and Rating Plan is to determine the most appropriate and affordable revenue and rating approach for City of Greater Geelong</w:t>
      </w:r>
      <w:r w:rsidR="00D74D21" w:rsidRPr="00237C09">
        <w:rPr>
          <w:rFonts w:ascii="Arial" w:hAnsi="Arial" w:cs="Arial"/>
        </w:rPr>
        <w:t xml:space="preserve"> (the Council)</w:t>
      </w:r>
      <w:r w:rsidRPr="00237C09">
        <w:rPr>
          <w:rFonts w:ascii="Arial" w:hAnsi="Arial" w:cs="Arial"/>
        </w:rPr>
        <w:t xml:space="preserve"> in conjunction with other income sources will adequately finance the objectives and actions of Our Community Plan. </w:t>
      </w:r>
    </w:p>
    <w:p w14:paraId="5B288AD1" w14:textId="61E2D773" w:rsidR="00D74D21" w:rsidRPr="00237C09" w:rsidRDefault="00D34129" w:rsidP="00237C09">
      <w:pPr>
        <w:pStyle w:val="BodyText"/>
        <w:jc w:val="both"/>
        <w:rPr>
          <w:rFonts w:ascii="Arial" w:hAnsi="Arial" w:cs="Arial"/>
        </w:rPr>
      </w:pPr>
      <w:r w:rsidRPr="00237C09">
        <w:rPr>
          <w:rFonts w:ascii="Arial" w:hAnsi="Arial" w:cs="Arial"/>
        </w:rPr>
        <w:t>The Plan sets out the system of, rates and charges adopted by the Council for the purposes of allocating the required rates contribution across the municipality on the most appropriate and affordable basis.</w:t>
      </w:r>
    </w:p>
    <w:p w14:paraId="706062B3" w14:textId="53A1C319" w:rsidR="00D34129" w:rsidRDefault="00D34129" w:rsidP="00237C09">
      <w:pPr>
        <w:pStyle w:val="BodyText"/>
        <w:jc w:val="both"/>
        <w:rPr>
          <w:rFonts w:ascii="Arial" w:hAnsi="Arial" w:cs="Arial"/>
        </w:rPr>
      </w:pPr>
      <w:r w:rsidRPr="00237C09">
        <w:rPr>
          <w:rFonts w:ascii="Arial" w:hAnsi="Arial" w:cs="Arial"/>
        </w:rPr>
        <w:t xml:space="preserve">The City’s 2021-22 annual budget assumes income of over $268m from rates and charges.   </w:t>
      </w:r>
    </w:p>
    <w:p w14:paraId="14CAF8A7" w14:textId="3917E8C3" w:rsidR="00D34129" w:rsidRDefault="00D34129" w:rsidP="00D34129">
      <w:r w:rsidRPr="006E2366">
        <w:rPr>
          <w:noProof/>
        </w:rPr>
        <w:drawing>
          <wp:inline distT="0" distB="0" distL="0" distR="0" wp14:anchorId="55E7272D" wp14:editId="396A64FF">
            <wp:extent cx="6088380" cy="3120227"/>
            <wp:effectExtent l="0" t="0" r="7620" b="4445"/>
            <wp:docPr id="3" name="Chart 3">
              <a:extLst xmlns:a="http://schemas.openxmlformats.org/drawingml/2006/main">
                <a:ext uri="{FF2B5EF4-FFF2-40B4-BE49-F238E27FC236}">
                  <a16:creationId xmlns:a16="http://schemas.microsoft.com/office/drawing/2014/main" id="{3F676956-429E-4F05-AC94-1A91DE1B54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9BA669" w14:textId="35C1A64C" w:rsidR="006E2366" w:rsidRPr="00237C09" w:rsidRDefault="00D74D21" w:rsidP="00237C09">
      <w:pPr>
        <w:pStyle w:val="BodyText"/>
        <w:jc w:val="both"/>
        <w:rPr>
          <w:rFonts w:ascii="Arial" w:hAnsi="Arial" w:cs="Arial"/>
        </w:rPr>
      </w:pPr>
      <w:r w:rsidRPr="00237C09">
        <w:rPr>
          <w:rFonts w:ascii="Arial" w:hAnsi="Arial" w:cs="Arial"/>
        </w:rPr>
        <w:t xml:space="preserve">Current distribution of rates, for 2021-22 Residential will contribute 58% towards rates and charges. </w:t>
      </w:r>
    </w:p>
    <w:p w14:paraId="7E40F033" w14:textId="1F307285" w:rsidR="00D74D21" w:rsidRDefault="00D74D21" w:rsidP="00D34129">
      <w:r>
        <w:rPr>
          <w:noProof/>
        </w:rPr>
        <w:drawing>
          <wp:inline distT="0" distB="0" distL="0" distR="0" wp14:anchorId="2A627E82" wp14:editId="0DABC94C">
            <wp:extent cx="6071235" cy="3016220"/>
            <wp:effectExtent l="0" t="0" r="5715" b="13335"/>
            <wp:docPr id="1" name="Chart 1">
              <a:extLst xmlns:a="http://schemas.openxmlformats.org/drawingml/2006/main">
                <a:ext uri="{FF2B5EF4-FFF2-40B4-BE49-F238E27FC236}">
                  <a16:creationId xmlns:a16="http://schemas.microsoft.com/office/drawing/2014/main" id="{D6FF83D8-52B0-43C8-8795-DAC2FA3D28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E5E224" w14:textId="32193DD8" w:rsidR="00D74D21" w:rsidRDefault="00D74D21" w:rsidP="00237C09">
      <w:pPr>
        <w:pBdr>
          <w:bottom w:val="single" w:sz="4" w:space="1" w:color="auto"/>
        </w:pBdr>
        <w:rPr>
          <w:b/>
          <w:bCs/>
        </w:rPr>
      </w:pPr>
      <w:r>
        <w:rPr>
          <w:b/>
          <w:bCs/>
        </w:rPr>
        <w:lastRenderedPageBreak/>
        <w:t>QUESTION 2</w:t>
      </w:r>
      <w:r w:rsidR="00894548">
        <w:rPr>
          <w:b/>
          <w:bCs/>
        </w:rPr>
        <w:t xml:space="preserve"> &amp; 3</w:t>
      </w:r>
      <w:r>
        <w:rPr>
          <w:b/>
          <w:bCs/>
        </w:rPr>
        <w:t xml:space="preserve">  </w:t>
      </w:r>
    </w:p>
    <w:p w14:paraId="15DA6E8F" w14:textId="467DFDD8" w:rsidR="00D74D21" w:rsidRPr="00237C09" w:rsidRDefault="00237C09" w:rsidP="00237C09">
      <w:pPr>
        <w:pStyle w:val="BodyText"/>
        <w:jc w:val="both"/>
        <w:rPr>
          <w:rFonts w:ascii="Arial" w:hAnsi="Arial" w:cs="Arial"/>
        </w:rPr>
      </w:pPr>
      <w:r w:rsidRPr="00237C09">
        <w:rPr>
          <w:rFonts w:ascii="Arial" w:hAnsi="Arial" w:cs="Arial"/>
        </w:rPr>
        <w:t>Rating strategy decisions are underpinned by the following;</w:t>
      </w:r>
    </w:p>
    <w:p w14:paraId="01B96904" w14:textId="77777777" w:rsidR="00237C09" w:rsidRPr="00237C09" w:rsidRDefault="00237C09" w:rsidP="00237C09">
      <w:pPr>
        <w:pStyle w:val="BodyText"/>
        <w:numPr>
          <w:ilvl w:val="0"/>
          <w:numId w:val="2"/>
        </w:numPr>
        <w:jc w:val="both"/>
        <w:rPr>
          <w:rFonts w:ascii="Arial" w:hAnsi="Arial" w:cs="Arial"/>
        </w:rPr>
      </w:pPr>
      <w:r w:rsidRPr="00237C09">
        <w:rPr>
          <w:rFonts w:ascii="Arial" w:hAnsi="Arial" w:cs="Arial"/>
        </w:rPr>
        <w:t>Accountability, transparency and simplicity;</w:t>
      </w:r>
    </w:p>
    <w:p w14:paraId="40FE6A36" w14:textId="77777777" w:rsidR="00237C09" w:rsidRPr="00237C09" w:rsidRDefault="00237C09" w:rsidP="00237C09">
      <w:pPr>
        <w:pStyle w:val="BodyText"/>
        <w:numPr>
          <w:ilvl w:val="0"/>
          <w:numId w:val="2"/>
        </w:numPr>
        <w:jc w:val="both"/>
        <w:rPr>
          <w:rFonts w:ascii="Arial" w:hAnsi="Arial" w:cs="Arial"/>
        </w:rPr>
      </w:pPr>
      <w:r w:rsidRPr="00237C09">
        <w:rPr>
          <w:rFonts w:ascii="Arial" w:hAnsi="Arial" w:cs="Arial"/>
        </w:rPr>
        <w:t>Efficiency, effectiveness and timeliness;</w:t>
      </w:r>
    </w:p>
    <w:p w14:paraId="7B3D7674" w14:textId="77777777" w:rsidR="00237C09" w:rsidRPr="00237C09" w:rsidRDefault="00237C09" w:rsidP="00237C09">
      <w:pPr>
        <w:pStyle w:val="BodyText"/>
        <w:numPr>
          <w:ilvl w:val="0"/>
          <w:numId w:val="2"/>
        </w:numPr>
        <w:jc w:val="both"/>
        <w:rPr>
          <w:rFonts w:ascii="Arial" w:hAnsi="Arial" w:cs="Arial"/>
        </w:rPr>
      </w:pPr>
      <w:r w:rsidRPr="00237C09">
        <w:rPr>
          <w:rFonts w:ascii="Arial" w:hAnsi="Arial" w:cs="Arial"/>
          <w:u w:val="single"/>
        </w:rPr>
        <w:t>Equitable distribution of the rate contribution across the community according to assessment of property values for like uses</w:t>
      </w:r>
      <w:r w:rsidRPr="00237C09">
        <w:rPr>
          <w:rFonts w:ascii="Arial" w:hAnsi="Arial" w:cs="Arial"/>
        </w:rPr>
        <w:t xml:space="preserve"> (Horizontal equity further defined below) and capacity to pay (Vertical equity further defined below) based on different uses.;</w:t>
      </w:r>
    </w:p>
    <w:p w14:paraId="7FF63301" w14:textId="77777777" w:rsidR="00237C09" w:rsidRPr="00237C09" w:rsidRDefault="00237C09" w:rsidP="00237C09">
      <w:pPr>
        <w:pStyle w:val="BodyText"/>
        <w:numPr>
          <w:ilvl w:val="0"/>
          <w:numId w:val="2"/>
        </w:numPr>
        <w:jc w:val="both"/>
        <w:rPr>
          <w:rFonts w:ascii="Arial" w:hAnsi="Arial" w:cs="Arial"/>
        </w:rPr>
      </w:pPr>
      <w:r w:rsidRPr="00237C09">
        <w:rPr>
          <w:rFonts w:ascii="Arial" w:hAnsi="Arial" w:cs="Arial"/>
        </w:rPr>
        <w:t>A “safety net” approach to assist eligible ratepayers significantly affected by increasing rates; and</w:t>
      </w:r>
    </w:p>
    <w:p w14:paraId="230F98BD" w14:textId="77777777" w:rsidR="00237C09" w:rsidRPr="00237C09" w:rsidRDefault="00237C09" w:rsidP="00237C09">
      <w:pPr>
        <w:pStyle w:val="BodyText"/>
        <w:numPr>
          <w:ilvl w:val="0"/>
          <w:numId w:val="2"/>
        </w:numPr>
        <w:jc w:val="both"/>
        <w:rPr>
          <w:rFonts w:ascii="Arial" w:hAnsi="Arial" w:cs="Arial"/>
        </w:rPr>
      </w:pPr>
      <w:r w:rsidRPr="00237C09">
        <w:rPr>
          <w:rFonts w:ascii="Arial" w:hAnsi="Arial" w:cs="Arial"/>
        </w:rPr>
        <w:t>Compliance with relevant legislation.</w:t>
      </w:r>
    </w:p>
    <w:p w14:paraId="28634960" w14:textId="77777777" w:rsidR="00237C09" w:rsidRPr="00237C09" w:rsidRDefault="00237C09" w:rsidP="00237C09">
      <w:pPr>
        <w:pStyle w:val="BodyText"/>
        <w:numPr>
          <w:ilvl w:val="0"/>
          <w:numId w:val="2"/>
        </w:numPr>
        <w:jc w:val="both"/>
        <w:rPr>
          <w:rFonts w:ascii="Arial" w:hAnsi="Arial" w:cs="Arial"/>
        </w:rPr>
      </w:pPr>
      <w:r w:rsidRPr="00237C09">
        <w:rPr>
          <w:rFonts w:ascii="Arial" w:hAnsi="Arial" w:cs="Arial"/>
        </w:rPr>
        <w:t xml:space="preserve">Where feasible, services should be funded on a user pays system. </w:t>
      </w:r>
    </w:p>
    <w:p w14:paraId="0402C2FE" w14:textId="77777777" w:rsidR="00237C09" w:rsidRPr="00237C09" w:rsidRDefault="00237C09" w:rsidP="00237C09">
      <w:pPr>
        <w:pStyle w:val="BodyText"/>
        <w:numPr>
          <w:ilvl w:val="0"/>
          <w:numId w:val="2"/>
        </w:numPr>
        <w:jc w:val="both"/>
        <w:rPr>
          <w:rFonts w:ascii="Arial" w:hAnsi="Arial" w:cs="Arial"/>
        </w:rPr>
      </w:pPr>
      <w:r w:rsidRPr="00237C09">
        <w:rPr>
          <w:rFonts w:ascii="Arial" w:hAnsi="Arial" w:cs="Arial"/>
        </w:rPr>
        <w:t>Where specified, local objectives can be achieved using differential rates.</w:t>
      </w:r>
    </w:p>
    <w:p w14:paraId="78FF38F3" w14:textId="77777777" w:rsidR="00237C09" w:rsidRPr="00237C09" w:rsidRDefault="00237C09" w:rsidP="00237C09">
      <w:pPr>
        <w:pStyle w:val="BodyText"/>
        <w:numPr>
          <w:ilvl w:val="0"/>
          <w:numId w:val="2"/>
        </w:numPr>
        <w:jc w:val="both"/>
        <w:rPr>
          <w:rFonts w:ascii="Arial" w:hAnsi="Arial" w:cs="Arial"/>
        </w:rPr>
      </w:pPr>
      <w:r w:rsidRPr="00237C09">
        <w:rPr>
          <w:rFonts w:ascii="Arial" w:hAnsi="Arial" w:cs="Arial"/>
        </w:rPr>
        <w:t xml:space="preserve">Residual service costs should be apportioned </w:t>
      </w:r>
      <w:proofErr w:type="gramStart"/>
      <w:r w:rsidRPr="00237C09">
        <w:rPr>
          <w:rFonts w:ascii="Arial" w:hAnsi="Arial" w:cs="Arial"/>
        </w:rPr>
        <w:t>on the basis of</w:t>
      </w:r>
      <w:proofErr w:type="gramEnd"/>
      <w:r w:rsidRPr="00237C09">
        <w:rPr>
          <w:rFonts w:ascii="Arial" w:hAnsi="Arial" w:cs="Arial"/>
        </w:rPr>
        <w:t xml:space="preserve"> property valuation.</w:t>
      </w:r>
    </w:p>
    <w:p w14:paraId="26BA4C84" w14:textId="77777777" w:rsidR="00237C09" w:rsidRPr="00237C09" w:rsidRDefault="00237C09" w:rsidP="00237C09">
      <w:pPr>
        <w:pStyle w:val="BodyText"/>
        <w:jc w:val="both"/>
        <w:rPr>
          <w:rFonts w:ascii="Arial" w:hAnsi="Arial" w:cs="Arial"/>
        </w:rPr>
      </w:pPr>
      <w:r w:rsidRPr="00237C09">
        <w:rPr>
          <w:rFonts w:ascii="Arial" w:hAnsi="Arial" w:cs="Arial"/>
        </w:rPr>
        <w:t>In addition to the decisions above, public finance theory sets three major criteria for successful taxation policy:</w:t>
      </w:r>
    </w:p>
    <w:p w14:paraId="54161ACD" w14:textId="0C75B6E7" w:rsidR="00237C09" w:rsidRPr="00237C09" w:rsidRDefault="00237C09" w:rsidP="00237C09">
      <w:pPr>
        <w:pStyle w:val="CommentText"/>
        <w:numPr>
          <w:ilvl w:val="0"/>
          <w:numId w:val="3"/>
        </w:numPr>
        <w:jc w:val="both"/>
        <w:rPr>
          <w:rFonts w:ascii="Arial" w:hAnsi="Arial" w:cs="Arial"/>
          <w:sz w:val="19"/>
          <w:szCs w:val="19"/>
        </w:rPr>
      </w:pPr>
      <w:r w:rsidRPr="00237C09">
        <w:rPr>
          <w:rFonts w:ascii="Arial" w:hAnsi="Arial" w:cs="Arial"/>
          <w:sz w:val="19"/>
          <w:szCs w:val="19"/>
          <w:u w:val="single"/>
        </w:rPr>
        <w:t xml:space="preserve">Equity </w:t>
      </w:r>
    </w:p>
    <w:p w14:paraId="6F0F02D0" w14:textId="6AD6166F" w:rsidR="00237C09" w:rsidRPr="00237C09" w:rsidRDefault="00237C09" w:rsidP="00237C09">
      <w:pPr>
        <w:pStyle w:val="CommentText"/>
        <w:numPr>
          <w:ilvl w:val="1"/>
          <w:numId w:val="3"/>
        </w:numPr>
        <w:jc w:val="both"/>
        <w:rPr>
          <w:rFonts w:ascii="Arial" w:hAnsi="Arial" w:cs="Arial"/>
          <w:sz w:val="19"/>
          <w:szCs w:val="19"/>
        </w:rPr>
      </w:pPr>
      <w:r w:rsidRPr="00237C09">
        <w:rPr>
          <w:rFonts w:ascii="Arial" w:hAnsi="Arial" w:cs="Arial"/>
          <w:sz w:val="19"/>
          <w:szCs w:val="19"/>
        </w:rPr>
        <w:t xml:space="preserve">Horizontal equity means </w:t>
      </w:r>
      <w:bookmarkStart w:id="0" w:name="_Hlk73452045"/>
      <w:r w:rsidRPr="00237C09">
        <w:rPr>
          <w:rFonts w:ascii="Arial" w:hAnsi="Arial" w:cs="Arial"/>
          <w:sz w:val="19"/>
          <w:szCs w:val="19"/>
        </w:rPr>
        <w:t xml:space="preserve">ratepayers in similar situations should pay similar amounts. </w:t>
      </w:r>
      <w:bookmarkEnd w:id="0"/>
    </w:p>
    <w:p w14:paraId="2DEBC553" w14:textId="77777777" w:rsidR="00237C09" w:rsidRPr="00237C09" w:rsidRDefault="00237C09" w:rsidP="00237C09">
      <w:pPr>
        <w:pStyle w:val="CommentText"/>
        <w:numPr>
          <w:ilvl w:val="1"/>
          <w:numId w:val="3"/>
        </w:numPr>
        <w:jc w:val="both"/>
        <w:rPr>
          <w:rFonts w:ascii="Arial" w:hAnsi="Arial" w:cs="Arial"/>
          <w:sz w:val="19"/>
          <w:szCs w:val="19"/>
        </w:rPr>
      </w:pPr>
      <w:r w:rsidRPr="00237C09">
        <w:rPr>
          <w:rFonts w:ascii="Arial" w:hAnsi="Arial" w:cs="Arial"/>
          <w:sz w:val="19"/>
          <w:szCs w:val="19"/>
        </w:rPr>
        <w:t xml:space="preserve">Vertical equity means </w:t>
      </w:r>
      <w:bookmarkStart w:id="1" w:name="_Hlk73452075"/>
      <w:r w:rsidRPr="00237C09">
        <w:rPr>
          <w:rFonts w:ascii="Arial" w:hAnsi="Arial" w:cs="Arial"/>
          <w:sz w:val="19"/>
          <w:szCs w:val="19"/>
        </w:rPr>
        <w:t>those who are better off should pay more than those worse off the rationale applies for the use of progressive and proportional income taxation. It implies a “relativity” dimension to the fairness of the tax burden</w:t>
      </w:r>
      <w:bookmarkEnd w:id="1"/>
      <w:r w:rsidRPr="00237C09">
        <w:rPr>
          <w:rFonts w:ascii="Arial" w:hAnsi="Arial" w:cs="Arial"/>
          <w:sz w:val="19"/>
          <w:szCs w:val="19"/>
        </w:rPr>
        <w:t>.</w:t>
      </w:r>
    </w:p>
    <w:p w14:paraId="48FDBA06" w14:textId="1D2BA80C" w:rsidR="00237C09" w:rsidRPr="00237C09" w:rsidRDefault="00237C09" w:rsidP="00237C09">
      <w:pPr>
        <w:pStyle w:val="BodyText"/>
        <w:numPr>
          <w:ilvl w:val="0"/>
          <w:numId w:val="2"/>
        </w:numPr>
        <w:jc w:val="both"/>
        <w:rPr>
          <w:rFonts w:ascii="Arial" w:hAnsi="Arial" w:cs="Arial"/>
        </w:rPr>
      </w:pPr>
      <w:r w:rsidRPr="00237C09">
        <w:rPr>
          <w:rFonts w:ascii="Arial" w:hAnsi="Arial" w:cs="Arial"/>
        </w:rPr>
        <w:t xml:space="preserve">Efficiency - Has two meaning’s first that in a technical sense the tax should not unduly interfere with the efficient operation of the economy and secondly is related to the cost of administering the collection of rates.  </w:t>
      </w:r>
    </w:p>
    <w:p w14:paraId="48D64CD9" w14:textId="77777777" w:rsidR="00237C09" w:rsidRPr="00237C09" w:rsidRDefault="00237C09" w:rsidP="00237C09">
      <w:pPr>
        <w:pStyle w:val="BodyText"/>
        <w:numPr>
          <w:ilvl w:val="0"/>
          <w:numId w:val="2"/>
        </w:numPr>
        <w:jc w:val="both"/>
        <w:rPr>
          <w:rFonts w:ascii="Arial" w:hAnsi="Arial" w:cs="Arial"/>
        </w:rPr>
      </w:pPr>
      <w:r w:rsidRPr="00237C09">
        <w:rPr>
          <w:rFonts w:ascii="Arial" w:hAnsi="Arial" w:cs="Arial"/>
        </w:rPr>
        <w:t xml:space="preserve">Simplicity - for both administrative ease (and therefore lower cost) and to ensure that the tax is understood by taxpayers. The latter ensures that the tax system is transparent and capable of being questioned and challenged by ratepayers. </w:t>
      </w:r>
    </w:p>
    <w:p w14:paraId="5109652C" w14:textId="1AF66F3F" w:rsidR="00237C09" w:rsidRDefault="00237C09" w:rsidP="00D34129"/>
    <w:p w14:paraId="1A95E059" w14:textId="77777777" w:rsidR="00237C09" w:rsidRDefault="00237C09">
      <w:pPr>
        <w:rPr>
          <w:b/>
          <w:bCs/>
        </w:rPr>
      </w:pPr>
      <w:r>
        <w:rPr>
          <w:b/>
          <w:bCs/>
        </w:rPr>
        <w:br w:type="page"/>
      </w:r>
      <w:bookmarkStart w:id="2" w:name="_GoBack"/>
      <w:bookmarkEnd w:id="2"/>
    </w:p>
    <w:p w14:paraId="7B16879E" w14:textId="60E60795" w:rsidR="00237C09" w:rsidRDefault="00237C09" w:rsidP="00237C09">
      <w:pPr>
        <w:pBdr>
          <w:bottom w:val="single" w:sz="4" w:space="1" w:color="auto"/>
        </w:pBdr>
        <w:rPr>
          <w:b/>
          <w:bCs/>
        </w:rPr>
      </w:pPr>
      <w:r>
        <w:rPr>
          <w:b/>
          <w:bCs/>
        </w:rPr>
        <w:lastRenderedPageBreak/>
        <w:t>Question 4</w:t>
      </w:r>
      <w:r w:rsidR="00894548">
        <w:rPr>
          <w:b/>
          <w:bCs/>
        </w:rPr>
        <w:t xml:space="preserve"> &amp; 5</w:t>
      </w:r>
    </w:p>
    <w:p w14:paraId="04C417B0" w14:textId="77777777" w:rsidR="00237C09" w:rsidRPr="00237C09" w:rsidRDefault="00237C09" w:rsidP="00237C09">
      <w:pPr>
        <w:pStyle w:val="BodyText"/>
        <w:jc w:val="both"/>
        <w:rPr>
          <w:rFonts w:ascii="Arial" w:hAnsi="Arial" w:cs="Arial"/>
        </w:rPr>
      </w:pPr>
      <w:r w:rsidRPr="00237C09">
        <w:rPr>
          <w:rFonts w:ascii="Arial" w:hAnsi="Arial" w:cs="Arial"/>
        </w:rPr>
        <w:t>In 2021-22 Council proposes as part of the 2021-22 to 2024-25 Budget to:</w:t>
      </w:r>
    </w:p>
    <w:p w14:paraId="71CD72C2" w14:textId="77777777" w:rsidR="00237C09" w:rsidRPr="00237C09" w:rsidRDefault="00237C09" w:rsidP="00237C09">
      <w:pPr>
        <w:pStyle w:val="BodyText"/>
        <w:numPr>
          <w:ilvl w:val="0"/>
          <w:numId w:val="4"/>
        </w:numPr>
        <w:ind w:left="709" w:hanging="425"/>
        <w:jc w:val="both"/>
        <w:rPr>
          <w:rFonts w:ascii="Arial" w:hAnsi="Arial" w:cs="Arial"/>
        </w:rPr>
      </w:pPr>
      <w:r w:rsidRPr="00237C09">
        <w:rPr>
          <w:rFonts w:ascii="Arial" w:hAnsi="Arial" w:cs="Arial"/>
        </w:rPr>
        <w:t>Increase general rates by a total of 1.5%, this is in line with the State Government rate cap.</w:t>
      </w:r>
    </w:p>
    <w:p w14:paraId="71B862AD" w14:textId="77777777" w:rsidR="00237C09" w:rsidRPr="00237C09" w:rsidRDefault="00237C09" w:rsidP="00237C09">
      <w:pPr>
        <w:pStyle w:val="BodyText"/>
        <w:numPr>
          <w:ilvl w:val="0"/>
          <w:numId w:val="4"/>
        </w:numPr>
        <w:ind w:left="709" w:hanging="425"/>
        <w:jc w:val="both"/>
        <w:rPr>
          <w:rFonts w:ascii="Arial" w:hAnsi="Arial" w:cs="Arial"/>
        </w:rPr>
      </w:pPr>
      <w:r w:rsidRPr="00237C09">
        <w:rPr>
          <w:rFonts w:ascii="Arial" w:hAnsi="Arial" w:cs="Arial"/>
        </w:rPr>
        <w:t xml:space="preserve">Hold the average commercial rates payable for 2021-22 at the same level as 2020-21. </w:t>
      </w:r>
    </w:p>
    <w:p w14:paraId="49AE7DC2" w14:textId="77777777" w:rsidR="00237C09" w:rsidRPr="00237C09" w:rsidRDefault="00237C09" w:rsidP="00237C09">
      <w:pPr>
        <w:pStyle w:val="BodyText"/>
        <w:numPr>
          <w:ilvl w:val="0"/>
          <w:numId w:val="4"/>
        </w:numPr>
        <w:ind w:left="709" w:hanging="425"/>
        <w:jc w:val="both"/>
        <w:rPr>
          <w:rFonts w:ascii="Arial" w:hAnsi="Arial" w:cs="Arial"/>
        </w:rPr>
      </w:pPr>
      <w:r w:rsidRPr="00237C09">
        <w:rPr>
          <w:rFonts w:ascii="Arial" w:hAnsi="Arial" w:cs="Arial"/>
        </w:rPr>
        <w:t>Increase residential rates by an average of 1.7% to offset the hold on the average commercial rate increase.</w:t>
      </w:r>
    </w:p>
    <w:p w14:paraId="461B5F81" w14:textId="77777777" w:rsidR="00237C09" w:rsidRPr="00237C09" w:rsidRDefault="00237C09" w:rsidP="00237C09">
      <w:pPr>
        <w:pStyle w:val="BodyText"/>
        <w:numPr>
          <w:ilvl w:val="0"/>
          <w:numId w:val="4"/>
        </w:numPr>
        <w:ind w:left="709" w:hanging="425"/>
        <w:jc w:val="both"/>
        <w:rPr>
          <w:rFonts w:ascii="Arial" w:hAnsi="Arial" w:cs="Arial"/>
        </w:rPr>
      </w:pPr>
      <w:r w:rsidRPr="00237C09">
        <w:rPr>
          <w:rFonts w:ascii="Arial" w:hAnsi="Arial" w:cs="Arial"/>
        </w:rPr>
        <w:t>Reduce the gap between the commercial and industrial rate from 9.3% in 2020-21 to 6.4% in 2021-22 in line with previous Council rating strategies.</w:t>
      </w:r>
    </w:p>
    <w:p w14:paraId="232BC483" w14:textId="77777777" w:rsidR="00237C09" w:rsidRPr="00237C09" w:rsidRDefault="00237C09" w:rsidP="00237C09">
      <w:pPr>
        <w:pStyle w:val="BodyText"/>
        <w:numPr>
          <w:ilvl w:val="0"/>
          <w:numId w:val="4"/>
        </w:numPr>
        <w:ind w:left="709" w:hanging="425"/>
        <w:jc w:val="both"/>
        <w:rPr>
          <w:rFonts w:ascii="Arial" w:hAnsi="Arial" w:cs="Arial"/>
        </w:rPr>
      </w:pPr>
      <w:r w:rsidRPr="00237C09">
        <w:rPr>
          <w:rFonts w:ascii="Arial" w:hAnsi="Arial" w:cs="Arial"/>
        </w:rPr>
        <w:t>Align the petroleum differential rate to the industrial rate in the dollar.</w:t>
      </w:r>
    </w:p>
    <w:p w14:paraId="611E979A" w14:textId="77777777" w:rsidR="00237C09" w:rsidRPr="00237C09" w:rsidRDefault="00237C09" w:rsidP="00237C09">
      <w:pPr>
        <w:pStyle w:val="BodyText"/>
        <w:numPr>
          <w:ilvl w:val="0"/>
          <w:numId w:val="4"/>
        </w:numPr>
        <w:ind w:left="709" w:hanging="425"/>
        <w:jc w:val="both"/>
        <w:rPr>
          <w:rFonts w:ascii="Arial" w:hAnsi="Arial" w:cs="Arial"/>
        </w:rPr>
      </w:pPr>
      <w:r w:rsidRPr="00237C09">
        <w:rPr>
          <w:rFonts w:ascii="Arial" w:hAnsi="Arial" w:cs="Arial"/>
        </w:rPr>
        <w:t>Set the farm rebate at 18.6% to maintain an average rate increase consistent with the residential rate increase.</w:t>
      </w:r>
    </w:p>
    <w:p w14:paraId="1F81CBE3" w14:textId="4E1CDF75" w:rsidR="00237C09" w:rsidRPr="007D5246" w:rsidRDefault="00237C09" w:rsidP="00237C09">
      <w:pPr>
        <w:rPr>
          <w:sz w:val="12"/>
          <w:szCs w:val="12"/>
        </w:rPr>
      </w:pPr>
    </w:p>
    <w:p w14:paraId="44B565CB" w14:textId="42F1118D" w:rsidR="00237C09" w:rsidRDefault="007D5246" w:rsidP="00237C09">
      <w:r>
        <w:rPr>
          <w:noProof/>
        </w:rPr>
        <mc:AlternateContent>
          <mc:Choice Requires="wps">
            <w:drawing>
              <wp:anchor distT="0" distB="0" distL="114300" distR="114300" simplePos="0" relativeHeight="251659264" behindDoc="0" locked="0" layoutInCell="1" allowOverlap="1" wp14:anchorId="032BEFCC" wp14:editId="464E359A">
                <wp:simplePos x="0" y="0"/>
                <wp:positionH relativeFrom="page">
                  <wp:posOffset>5258251</wp:posOffset>
                </wp:positionH>
                <wp:positionV relativeFrom="paragraph">
                  <wp:posOffset>468124</wp:posOffset>
                </wp:positionV>
                <wp:extent cx="2078617" cy="614045"/>
                <wp:effectExtent l="209550" t="0" r="17145" b="186055"/>
                <wp:wrapNone/>
                <wp:docPr id="2" name="Speech Bubble: Rectangle 2"/>
                <wp:cNvGraphicFramePr/>
                <a:graphic xmlns:a="http://schemas.openxmlformats.org/drawingml/2006/main">
                  <a:graphicData uri="http://schemas.microsoft.com/office/word/2010/wordprocessingShape">
                    <wps:wsp>
                      <wps:cNvSpPr/>
                      <wps:spPr>
                        <a:xfrm>
                          <a:off x="0" y="0"/>
                          <a:ext cx="2078617" cy="614045"/>
                        </a:xfrm>
                        <a:prstGeom prst="wedgeRectCallout">
                          <a:avLst>
                            <a:gd name="adj1" fmla="val -57942"/>
                            <a:gd name="adj2" fmla="val 7360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F00F74" w14:textId="70C88F14" w:rsidR="00C6712E" w:rsidRPr="00C6712E" w:rsidRDefault="00C6712E" w:rsidP="00C6712E">
                            <w:pPr>
                              <w:rPr>
                                <w:color w:val="000000" w:themeColor="text1"/>
                                <w:sz w:val="18"/>
                                <w:szCs w:val="18"/>
                              </w:rPr>
                            </w:pPr>
                            <w:r w:rsidRPr="00C6712E">
                              <w:rPr>
                                <w:color w:val="000000" w:themeColor="text1"/>
                                <w:sz w:val="18"/>
                                <w:szCs w:val="18"/>
                              </w:rPr>
                              <w:t>Commercial rate payers will pay 2.39 x more than a residential rate payer with the same property 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BEFC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 o:spid="_x0000_s1026" type="#_x0000_t61" style="position:absolute;margin-left:414.05pt;margin-top:36.85pt;width:163.65pt;height:4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" adj="-1715,26700" filled="f" strokecolor="#1f3763 [1604]" strokeweight="1pt">
                <v:textbox>
                  <w:txbxContent>
                    <w:p w14:paraId="44F00F74" w14:textId="70C88F14" w:rsidR="00C6712E" w:rsidRPr="00C6712E" w:rsidRDefault="00C6712E" w:rsidP="00C6712E">
                      <w:pPr>
                        <w:rPr>
                          <w:color w:val="000000" w:themeColor="text1"/>
                          <w:sz w:val="18"/>
                          <w:szCs w:val="18"/>
                        </w:rPr>
                      </w:pPr>
                      <w:r w:rsidRPr="00C6712E">
                        <w:rPr>
                          <w:color w:val="000000" w:themeColor="text1"/>
                          <w:sz w:val="18"/>
                          <w:szCs w:val="18"/>
                        </w:rPr>
                        <w:t>Commercial rate payers will pay 2.39 x more than a residential rate payer with the same property valuation</w:t>
                      </w:r>
                    </w:p>
                  </w:txbxContent>
                </v:textbox>
                <w10:wrap anchorx="page"/>
              </v:shape>
            </w:pict>
          </mc:Fallback>
        </mc:AlternateContent>
      </w:r>
      <w:r w:rsidR="008E0D45">
        <w:rPr>
          <w:noProof/>
        </w:rPr>
        <mc:AlternateContent>
          <mc:Choice Requires="wps">
            <w:drawing>
              <wp:anchor distT="0" distB="0" distL="114300" distR="114300" simplePos="0" relativeHeight="251660288" behindDoc="0" locked="0" layoutInCell="1" allowOverlap="1" wp14:anchorId="53F88437" wp14:editId="3D44945F">
                <wp:simplePos x="0" y="0"/>
                <wp:positionH relativeFrom="page">
                  <wp:posOffset>5286375</wp:posOffset>
                </wp:positionH>
                <wp:positionV relativeFrom="paragraph">
                  <wp:posOffset>1457325</wp:posOffset>
                </wp:positionV>
                <wp:extent cx="2057400" cy="752475"/>
                <wp:effectExtent l="266700" t="0" r="19050" b="28575"/>
                <wp:wrapNone/>
                <wp:docPr id="4" name="Speech Bubble: Rectangle 4"/>
                <wp:cNvGraphicFramePr/>
                <a:graphic xmlns:a="http://schemas.openxmlformats.org/drawingml/2006/main">
                  <a:graphicData uri="http://schemas.microsoft.com/office/word/2010/wordprocessingShape">
                    <wps:wsp>
                      <wps:cNvSpPr/>
                      <wps:spPr>
                        <a:xfrm>
                          <a:off x="0" y="0"/>
                          <a:ext cx="2057400" cy="752475"/>
                        </a:xfrm>
                        <a:prstGeom prst="wedgeRectCallout">
                          <a:avLst>
                            <a:gd name="adj1" fmla="val -62772"/>
                            <a:gd name="adj2" fmla="val 2673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489C2F9" w14:textId="5B458732" w:rsidR="00C6712E" w:rsidRPr="00C6712E" w:rsidRDefault="00C6712E" w:rsidP="00C6712E">
                            <w:pPr>
                              <w:jc w:val="center"/>
                              <w:rPr>
                                <w:color w:val="000000" w:themeColor="text1"/>
                                <w:sz w:val="18"/>
                                <w:szCs w:val="18"/>
                              </w:rPr>
                            </w:pPr>
                            <w:r w:rsidRPr="00C6712E">
                              <w:rPr>
                                <w:color w:val="000000" w:themeColor="text1"/>
                                <w:sz w:val="18"/>
                                <w:szCs w:val="18"/>
                              </w:rPr>
                              <w:t>Farms will currently pay less than a residential rate payer with the same property value, as they have a reduced cents/$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88437" id="Speech Bubble: Rectangle 4" o:spid="_x0000_s1027" type="#_x0000_t61" style="position:absolute;margin-left:416.25pt;margin-top:114.75pt;width:162pt;height:5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" adj="-2759,16575" filled="f" strokecolor="#1f3763 [1604]" strokeweight="1pt">
                <v:textbox>
                  <w:txbxContent>
                    <w:p w14:paraId="2489C2F9" w14:textId="5B458732" w:rsidR="00C6712E" w:rsidRPr="00C6712E" w:rsidRDefault="00C6712E" w:rsidP="00C6712E">
                      <w:pPr>
                        <w:jc w:val="center"/>
                        <w:rPr>
                          <w:color w:val="000000" w:themeColor="text1"/>
                          <w:sz w:val="18"/>
                          <w:szCs w:val="18"/>
                        </w:rPr>
                      </w:pPr>
                      <w:r w:rsidRPr="00C6712E">
                        <w:rPr>
                          <w:color w:val="000000" w:themeColor="text1"/>
                          <w:sz w:val="18"/>
                          <w:szCs w:val="18"/>
                        </w:rPr>
                        <w:t>Farms will currently pay less than a residential rate payer with the same property value, as they have a reduced cents/$</w:t>
                      </w:r>
                    </w:p>
                  </w:txbxContent>
                </v:textbox>
                <w10:wrap anchorx="page"/>
              </v:shape>
            </w:pict>
          </mc:Fallback>
        </mc:AlternateContent>
      </w:r>
      <w:r w:rsidR="00237C09">
        <w:t xml:space="preserve">The following rate in the dollars </w:t>
      </w:r>
      <w:r w:rsidR="00C6712E">
        <w:t xml:space="preserve">will apply to </w:t>
      </w:r>
      <w:r w:rsidR="00237C09">
        <w:t>propert</w:t>
      </w:r>
      <w:r w:rsidR="00C6712E">
        <w:t>y</w:t>
      </w:r>
      <w:r w:rsidR="00237C09">
        <w:t xml:space="preserve"> valuation</w:t>
      </w:r>
      <w:r w:rsidR="00C6712E">
        <w:t xml:space="preserve">s for the 2021-22 financial year. </w:t>
      </w:r>
    </w:p>
    <w:tbl>
      <w:tblPr>
        <w:tblStyle w:val="TableTheme"/>
        <w:tblW w:w="6658" w:type="dxa"/>
        <w:tblLook w:val="04A0" w:firstRow="1" w:lastRow="0" w:firstColumn="1" w:lastColumn="0" w:noHBand="0" w:noVBand="1"/>
      </w:tblPr>
      <w:tblGrid>
        <w:gridCol w:w="2260"/>
        <w:gridCol w:w="1380"/>
        <w:gridCol w:w="1360"/>
        <w:gridCol w:w="1658"/>
      </w:tblGrid>
      <w:tr w:rsidR="008E0D45" w:rsidRPr="00237C09" w14:paraId="0EC89B01" w14:textId="077C195A" w:rsidTr="008E0D45">
        <w:trPr>
          <w:trHeight w:val="690"/>
        </w:trPr>
        <w:tc>
          <w:tcPr>
            <w:tcW w:w="2260" w:type="dxa"/>
            <w:shd w:val="clear" w:color="auto" w:fill="002060"/>
            <w:noWrap/>
            <w:hideMark/>
          </w:tcPr>
          <w:p w14:paraId="5B60551D" w14:textId="77777777" w:rsidR="008E0D45" w:rsidRPr="00237C09" w:rsidRDefault="008E0D45" w:rsidP="00237C09">
            <w:pPr>
              <w:spacing w:after="0" w:line="240" w:lineRule="auto"/>
              <w:rPr>
                <w:rFonts w:ascii="Times New Roman" w:eastAsia="Times New Roman" w:hAnsi="Times New Roman" w:cs="Times New Roman"/>
                <w:b/>
                <w:bCs/>
                <w:color w:val="FFFFFF" w:themeColor="background1"/>
                <w:sz w:val="24"/>
                <w:szCs w:val="24"/>
                <w:lang w:eastAsia="en-AU"/>
              </w:rPr>
            </w:pPr>
          </w:p>
        </w:tc>
        <w:tc>
          <w:tcPr>
            <w:tcW w:w="1380" w:type="dxa"/>
            <w:shd w:val="clear" w:color="auto" w:fill="002060"/>
            <w:noWrap/>
            <w:hideMark/>
          </w:tcPr>
          <w:p w14:paraId="19AE3312" w14:textId="77777777" w:rsidR="008E0D45" w:rsidRPr="00237C09" w:rsidRDefault="008E0D45" w:rsidP="00237C09">
            <w:pPr>
              <w:spacing w:after="0" w:line="240" w:lineRule="auto"/>
              <w:rPr>
                <w:rFonts w:ascii="Calibri" w:eastAsia="Times New Roman" w:hAnsi="Calibri" w:cs="Calibri"/>
                <w:b/>
                <w:bCs/>
                <w:color w:val="FFFFFF" w:themeColor="background1"/>
                <w:lang w:eastAsia="en-AU"/>
              </w:rPr>
            </w:pPr>
            <w:r w:rsidRPr="00237C09">
              <w:rPr>
                <w:rFonts w:ascii="Calibri" w:eastAsia="Times New Roman" w:hAnsi="Calibri" w:cs="Calibri"/>
                <w:b/>
                <w:bCs/>
                <w:color w:val="FFFFFF" w:themeColor="background1"/>
                <w:lang w:eastAsia="en-AU"/>
              </w:rPr>
              <w:t>Cents/$CIV</w:t>
            </w:r>
          </w:p>
        </w:tc>
        <w:tc>
          <w:tcPr>
            <w:tcW w:w="1360" w:type="dxa"/>
            <w:shd w:val="clear" w:color="auto" w:fill="002060"/>
            <w:hideMark/>
          </w:tcPr>
          <w:p w14:paraId="4AEA04D7" w14:textId="77777777" w:rsidR="008E0D45" w:rsidRPr="00237C09" w:rsidRDefault="008E0D45" w:rsidP="00237C09">
            <w:pPr>
              <w:spacing w:after="0" w:line="240" w:lineRule="auto"/>
              <w:rPr>
                <w:rFonts w:ascii="Calibri" w:eastAsia="Times New Roman" w:hAnsi="Calibri" w:cs="Calibri"/>
                <w:b/>
                <w:bCs/>
                <w:color w:val="FFFFFF" w:themeColor="background1"/>
                <w:lang w:eastAsia="en-AU"/>
              </w:rPr>
            </w:pPr>
            <w:r w:rsidRPr="00237C09">
              <w:rPr>
                <w:rFonts w:ascii="Calibri" w:eastAsia="Times New Roman" w:hAnsi="Calibri" w:cs="Calibri"/>
                <w:b/>
                <w:bCs/>
                <w:color w:val="FFFFFF" w:themeColor="background1"/>
                <w:lang w:eastAsia="en-AU"/>
              </w:rPr>
              <w:t>Relativity to Residential</w:t>
            </w:r>
          </w:p>
        </w:tc>
        <w:tc>
          <w:tcPr>
            <w:tcW w:w="1658" w:type="dxa"/>
            <w:shd w:val="clear" w:color="auto" w:fill="002060"/>
          </w:tcPr>
          <w:p w14:paraId="3EE543D3" w14:textId="5A252E02" w:rsidR="008E0D45" w:rsidRPr="00237C09" w:rsidRDefault="008E0D45" w:rsidP="00237C09">
            <w:pPr>
              <w:spacing w:after="0" w:line="240" w:lineRule="auto"/>
              <w:rPr>
                <w:rFonts w:ascii="Calibri" w:eastAsia="Times New Roman" w:hAnsi="Calibri" w:cs="Calibri"/>
                <w:b/>
                <w:bCs/>
                <w:color w:val="FFFFFF" w:themeColor="background1"/>
                <w:lang w:eastAsia="en-AU"/>
              </w:rPr>
            </w:pPr>
            <w:r>
              <w:rPr>
                <w:rFonts w:ascii="Calibri" w:eastAsia="Times New Roman" w:hAnsi="Calibri" w:cs="Calibri"/>
                <w:b/>
                <w:bCs/>
                <w:color w:val="FFFFFF" w:themeColor="background1"/>
                <w:lang w:eastAsia="en-AU"/>
              </w:rPr>
              <w:t>Rates Payables for valuations of $1,000,000</w:t>
            </w:r>
          </w:p>
        </w:tc>
      </w:tr>
      <w:tr w:rsidR="008E0D45" w:rsidRPr="00237C09" w14:paraId="0DBA6DF6" w14:textId="7C67BCFB" w:rsidTr="00746621">
        <w:trPr>
          <w:trHeight w:val="290"/>
        </w:trPr>
        <w:tc>
          <w:tcPr>
            <w:tcW w:w="2260" w:type="dxa"/>
            <w:noWrap/>
            <w:hideMark/>
          </w:tcPr>
          <w:p w14:paraId="40EF223F" w14:textId="77777777" w:rsidR="008E0D45" w:rsidRPr="00237C09" w:rsidRDefault="008E0D45" w:rsidP="008E0D45">
            <w:pPr>
              <w:spacing w:after="0" w:line="240" w:lineRule="auto"/>
              <w:rPr>
                <w:rFonts w:ascii="Calibri" w:eastAsia="Times New Roman" w:hAnsi="Calibri" w:cs="Calibri"/>
                <w:b/>
                <w:bCs/>
                <w:color w:val="000000"/>
                <w:lang w:eastAsia="en-AU"/>
              </w:rPr>
            </w:pPr>
            <w:r w:rsidRPr="00237C09">
              <w:rPr>
                <w:rFonts w:ascii="Calibri" w:eastAsia="Times New Roman" w:hAnsi="Calibri" w:cs="Calibri"/>
                <w:b/>
                <w:bCs/>
                <w:color w:val="000000"/>
                <w:lang w:eastAsia="en-AU"/>
              </w:rPr>
              <w:t>Residential</w:t>
            </w:r>
          </w:p>
        </w:tc>
        <w:tc>
          <w:tcPr>
            <w:tcW w:w="1380" w:type="dxa"/>
            <w:noWrap/>
            <w:hideMark/>
          </w:tcPr>
          <w:p w14:paraId="31019D29" w14:textId="77777777" w:rsidR="008E0D45" w:rsidRPr="00237C09" w:rsidRDefault="008E0D45" w:rsidP="008E0D45">
            <w:pPr>
              <w:spacing w:after="0" w:line="240" w:lineRule="auto"/>
              <w:jc w:val="right"/>
              <w:rPr>
                <w:rFonts w:ascii="Calibri" w:eastAsia="Times New Roman" w:hAnsi="Calibri" w:cs="Calibri"/>
                <w:b/>
                <w:bCs/>
                <w:color w:val="000000"/>
                <w:lang w:eastAsia="en-AU"/>
              </w:rPr>
            </w:pPr>
            <w:r w:rsidRPr="00237C09">
              <w:rPr>
                <w:rFonts w:ascii="Calibri" w:eastAsia="Times New Roman" w:hAnsi="Calibri" w:cs="Calibri"/>
                <w:b/>
                <w:bCs/>
                <w:color w:val="000000"/>
                <w:lang w:eastAsia="en-AU"/>
              </w:rPr>
              <w:t>0.00228877</w:t>
            </w:r>
          </w:p>
        </w:tc>
        <w:tc>
          <w:tcPr>
            <w:tcW w:w="1360" w:type="dxa"/>
            <w:noWrap/>
            <w:hideMark/>
          </w:tcPr>
          <w:p w14:paraId="25F6F24E" w14:textId="3BED27D9" w:rsidR="008E0D45" w:rsidRPr="00237C09" w:rsidRDefault="008E0D45" w:rsidP="007D5246">
            <w:pPr>
              <w:spacing w:after="0" w:line="240" w:lineRule="auto"/>
              <w:jc w:val="center"/>
              <w:rPr>
                <w:rFonts w:ascii="Calibri" w:eastAsia="Times New Roman" w:hAnsi="Calibri" w:cs="Calibri"/>
                <w:b/>
                <w:bCs/>
                <w:color w:val="000000"/>
                <w:lang w:eastAsia="en-AU"/>
              </w:rPr>
            </w:pPr>
            <w:r w:rsidRPr="00237C09">
              <w:rPr>
                <w:rFonts w:ascii="Calibri" w:eastAsia="Times New Roman" w:hAnsi="Calibri" w:cs="Calibri"/>
                <w:b/>
                <w:bCs/>
                <w:color w:val="000000"/>
                <w:lang w:eastAsia="en-AU"/>
              </w:rPr>
              <w:t>1.00</w:t>
            </w:r>
          </w:p>
        </w:tc>
        <w:tc>
          <w:tcPr>
            <w:tcW w:w="1658" w:type="dxa"/>
            <w:vAlign w:val="bottom"/>
          </w:tcPr>
          <w:p w14:paraId="32C9E664" w14:textId="46ED9D9F" w:rsidR="008E0D45" w:rsidRPr="008E0D45" w:rsidRDefault="008E0D45" w:rsidP="008E0D45">
            <w:pPr>
              <w:spacing w:after="0" w:line="240" w:lineRule="auto"/>
              <w:jc w:val="center"/>
              <w:rPr>
                <w:rFonts w:ascii="Calibri" w:eastAsia="Times New Roman" w:hAnsi="Calibri" w:cs="Calibri"/>
                <w:b/>
                <w:bCs/>
                <w:color w:val="000000"/>
                <w:lang w:eastAsia="en-AU"/>
              </w:rPr>
            </w:pPr>
            <w:r w:rsidRPr="008E0D45">
              <w:rPr>
                <w:rFonts w:ascii="Calibri" w:hAnsi="Calibri" w:cs="Calibri"/>
                <w:b/>
                <w:bCs/>
                <w:color w:val="000000"/>
              </w:rPr>
              <w:t xml:space="preserve">$2,289 </w:t>
            </w:r>
          </w:p>
        </w:tc>
      </w:tr>
      <w:tr w:rsidR="008E0D45" w:rsidRPr="00237C09" w14:paraId="08456ED0" w14:textId="069851E3" w:rsidTr="00746621">
        <w:trPr>
          <w:trHeight w:val="290"/>
        </w:trPr>
        <w:tc>
          <w:tcPr>
            <w:tcW w:w="2260" w:type="dxa"/>
            <w:noWrap/>
            <w:hideMark/>
          </w:tcPr>
          <w:p w14:paraId="44191EC1" w14:textId="77777777" w:rsidR="008E0D45" w:rsidRPr="00237C09" w:rsidRDefault="008E0D45" w:rsidP="008E0D45">
            <w:pPr>
              <w:spacing w:after="0" w:line="240" w:lineRule="auto"/>
              <w:rPr>
                <w:rFonts w:ascii="Calibri" w:eastAsia="Times New Roman" w:hAnsi="Calibri" w:cs="Calibri"/>
                <w:color w:val="000000"/>
                <w:lang w:eastAsia="en-AU"/>
              </w:rPr>
            </w:pPr>
            <w:r w:rsidRPr="00237C09">
              <w:rPr>
                <w:rFonts w:ascii="Calibri" w:eastAsia="Times New Roman" w:hAnsi="Calibri" w:cs="Calibri"/>
                <w:color w:val="000000"/>
                <w:lang w:eastAsia="en-AU"/>
              </w:rPr>
              <w:t>Vacant Land</w:t>
            </w:r>
          </w:p>
        </w:tc>
        <w:tc>
          <w:tcPr>
            <w:tcW w:w="1380" w:type="dxa"/>
            <w:noWrap/>
            <w:hideMark/>
          </w:tcPr>
          <w:p w14:paraId="12BDA849" w14:textId="77777777" w:rsidR="008E0D45" w:rsidRPr="00237C09" w:rsidRDefault="008E0D45" w:rsidP="008E0D45">
            <w:pPr>
              <w:spacing w:after="0" w:line="240" w:lineRule="auto"/>
              <w:jc w:val="right"/>
              <w:rPr>
                <w:rFonts w:ascii="Calibri" w:eastAsia="Times New Roman" w:hAnsi="Calibri" w:cs="Calibri"/>
                <w:color w:val="000000"/>
                <w:lang w:eastAsia="en-AU"/>
              </w:rPr>
            </w:pPr>
            <w:r w:rsidRPr="00237C09">
              <w:rPr>
                <w:rFonts w:ascii="Calibri" w:eastAsia="Times New Roman" w:hAnsi="Calibri" w:cs="Calibri"/>
                <w:color w:val="000000"/>
                <w:lang w:eastAsia="en-AU"/>
              </w:rPr>
              <w:t>0.00320293</w:t>
            </w:r>
          </w:p>
        </w:tc>
        <w:tc>
          <w:tcPr>
            <w:tcW w:w="1360" w:type="dxa"/>
            <w:noWrap/>
            <w:hideMark/>
          </w:tcPr>
          <w:p w14:paraId="10EDA7A7" w14:textId="0420ACD3" w:rsidR="008E0D45" w:rsidRPr="00237C09" w:rsidRDefault="008E0D45" w:rsidP="008E0D45">
            <w:pPr>
              <w:spacing w:after="0" w:line="240" w:lineRule="auto"/>
              <w:jc w:val="center"/>
              <w:rPr>
                <w:rFonts w:ascii="Calibri" w:eastAsia="Times New Roman" w:hAnsi="Calibri" w:cs="Calibri"/>
                <w:color w:val="000000"/>
                <w:lang w:eastAsia="en-AU"/>
              </w:rPr>
            </w:pPr>
            <w:r w:rsidRPr="00237C09">
              <w:rPr>
                <w:rFonts w:ascii="Calibri" w:eastAsia="Times New Roman" w:hAnsi="Calibri" w:cs="Calibri"/>
                <w:color w:val="000000"/>
                <w:lang w:eastAsia="en-AU"/>
              </w:rPr>
              <w:t>1.40</w:t>
            </w:r>
            <w:r>
              <w:rPr>
                <w:rFonts w:ascii="Calibri" w:eastAsia="Times New Roman" w:hAnsi="Calibri" w:cs="Calibri"/>
                <w:color w:val="000000"/>
                <w:lang w:eastAsia="en-AU"/>
              </w:rPr>
              <w:t xml:space="preserve"> x</w:t>
            </w:r>
          </w:p>
        </w:tc>
        <w:tc>
          <w:tcPr>
            <w:tcW w:w="1658" w:type="dxa"/>
            <w:vAlign w:val="bottom"/>
          </w:tcPr>
          <w:p w14:paraId="1C8A36DA" w14:textId="24C4B986" w:rsidR="008E0D45" w:rsidRPr="00237C09" w:rsidRDefault="008E0D45" w:rsidP="008E0D45">
            <w:pPr>
              <w:spacing w:after="0" w:line="240" w:lineRule="auto"/>
              <w:jc w:val="center"/>
              <w:rPr>
                <w:rFonts w:ascii="Calibri" w:eastAsia="Times New Roman" w:hAnsi="Calibri" w:cs="Calibri"/>
                <w:color w:val="000000"/>
                <w:lang w:eastAsia="en-AU"/>
              </w:rPr>
            </w:pPr>
            <w:r>
              <w:rPr>
                <w:rFonts w:ascii="Calibri" w:hAnsi="Calibri" w:cs="Calibri"/>
                <w:color w:val="000000"/>
              </w:rPr>
              <w:t xml:space="preserve">$3,203 </w:t>
            </w:r>
          </w:p>
        </w:tc>
      </w:tr>
      <w:tr w:rsidR="008E0D45" w:rsidRPr="00237C09" w14:paraId="52DA4B81" w14:textId="7D67044F" w:rsidTr="00746621">
        <w:trPr>
          <w:trHeight w:val="290"/>
        </w:trPr>
        <w:tc>
          <w:tcPr>
            <w:tcW w:w="2260" w:type="dxa"/>
            <w:noWrap/>
            <w:hideMark/>
          </w:tcPr>
          <w:p w14:paraId="6AB8DD6E" w14:textId="77776093" w:rsidR="008E0D45" w:rsidRPr="00237C09" w:rsidRDefault="008E0D45" w:rsidP="008E0D45">
            <w:pPr>
              <w:spacing w:after="0" w:line="240" w:lineRule="auto"/>
              <w:rPr>
                <w:rFonts w:ascii="Calibri" w:eastAsia="Times New Roman" w:hAnsi="Calibri" w:cs="Calibri"/>
                <w:color w:val="000000"/>
                <w:lang w:eastAsia="en-AU"/>
              </w:rPr>
            </w:pPr>
            <w:r w:rsidRPr="00237C09">
              <w:rPr>
                <w:rFonts w:ascii="Calibri" w:eastAsia="Times New Roman" w:hAnsi="Calibri" w:cs="Calibri"/>
                <w:color w:val="000000"/>
                <w:lang w:eastAsia="en-AU"/>
              </w:rPr>
              <w:t xml:space="preserve">Commercial </w:t>
            </w:r>
          </w:p>
        </w:tc>
        <w:tc>
          <w:tcPr>
            <w:tcW w:w="1380" w:type="dxa"/>
            <w:noWrap/>
            <w:hideMark/>
          </w:tcPr>
          <w:p w14:paraId="5113A3D2" w14:textId="77777777" w:rsidR="008E0D45" w:rsidRPr="00237C09" w:rsidRDefault="008E0D45" w:rsidP="008E0D45">
            <w:pPr>
              <w:spacing w:after="0" w:line="240" w:lineRule="auto"/>
              <w:jc w:val="right"/>
              <w:rPr>
                <w:rFonts w:ascii="Calibri" w:eastAsia="Times New Roman" w:hAnsi="Calibri" w:cs="Calibri"/>
                <w:color w:val="000000"/>
                <w:lang w:eastAsia="en-AU"/>
              </w:rPr>
            </w:pPr>
            <w:r w:rsidRPr="00237C09">
              <w:rPr>
                <w:rFonts w:ascii="Calibri" w:eastAsia="Times New Roman" w:hAnsi="Calibri" w:cs="Calibri"/>
                <w:color w:val="000000"/>
                <w:lang w:eastAsia="en-AU"/>
              </w:rPr>
              <w:t>0.00546839</w:t>
            </w:r>
          </w:p>
        </w:tc>
        <w:tc>
          <w:tcPr>
            <w:tcW w:w="1360" w:type="dxa"/>
            <w:noWrap/>
            <w:hideMark/>
          </w:tcPr>
          <w:p w14:paraId="7980877A" w14:textId="40EBE349" w:rsidR="008E0D45" w:rsidRPr="00237C09" w:rsidRDefault="008E0D45" w:rsidP="008E0D45">
            <w:pPr>
              <w:spacing w:after="0" w:line="240" w:lineRule="auto"/>
              <w:jc w:val="center"/>
              <w:rPr>
                <w:rFonts w:ascii="Calibri" w:eastAsia="Times New Roman" w:hAnsi="Calibri" w:cs="Calibri"/>
                <w:color w:val="000000"/>
                <w:lang w:eastAsia="en-AU"/>
              </w:rPr>
            </w:pPr>
            <w:r w:rsidRPr="00237C09">
              <w:rPr>
                <w:rFonts w:ascii="Calibri" w:eastAsia="Times New Roman" w:hAnsi="Calibri" w:cs="Calibri"/>
                <w:color w:val="000000"/>
                <w:lang w:eastAsia="en-AU"/>
              </w:rPr>
              <w:t>2.39</w:t>
            </w:r>
            <w:r>
              <w:rPr>
                <w:rFonts w:ascii="Calibri" w:eastAsia="Times New Roman" w:hAnsi="Calibri" w:cs="Calibri"/>
                <w:color w:val="000000"/>
                <w:lang w:eastAsia="en-AU"/>
              </w:rPr>
              <w:t xml:space="preserve"> x</w:t>
            </w:r>
          </w:p>
        </w:tc>
        <w:tc>
          <w:tcPr>
            <w:tcW w:w="1658" w:type="dxa"/>
            <w:vAlign w:val="bottom"/>
          </w:tcPr>
          <w:p w14:paraId="741D56F6" w14:textId="54C27408" w:rsidR="008E0D45" w:rsidRPr="00237C09" w:rsidRDefault="008E0D45" w:rsidP="008E0D45">
            <w:pPr>
              <w:spacing w:after="0" w:line="240" w:lineRule="auto"/>
              <w:jc w:val="center"/>
              <w:rPr>
                <w:rFonts w:ascii="Calibri" w:eastAsia="Times New Roman" w:hAnsi="Calibri" w:cs="Calibri"/>
                <w:color w:val="000000"/>
                <w:lang w:eastAsia="en-AU"/>
              </w:rPr>
            </w:pPr>
            <w:r>
              <w:rPr>
                <w:rFonts w:ascii="Calibri" w:hAnsi="Calibri" w:cs="Calibri"/>
                <w:color w:val="000000"/>
              </w:rPr>
              <w:t xml:space="preserve">$5,468 </w:t>
            </w:r>
          </w:p>
        </w:tc>
      </w:tr>
      <w:tr w:rsidR="008E0D45" w:rsidRPr="00237C09" w14:paraId="1AB3649E" w14:textId="249E1CC5" w:rsidTr="00746621">
        <w:trPr>
          <w:trHeight w:val="290"/>
        </w:trPr>
        <w:tc>
          <w:tcPr>
            <w:tcW w:w="2260" w:type="dxa"/>
            <w:noWrap/>
            <w:hideMark/>
          </w:tcPr>
          <w:p w14:paraId="1B8F7B31" w14:textId="77777777" w:rsidR="008E0D45" w:rsidRPr="00237C09" w:rsidRDefault="008E0D45" w:rsidP="008E0D45">
            <w:pPr>
              <w:spacing w:after="0" w:line="240" w:lineRule="auto"/>
              <w:rPr>
                <w:rFonts w:ascii="Calibri" w:eastAsia="Times New Roman" w:hAnsi="Calibri" w:cs="Calibri"/>
                <w:color w:val="000000"/>
                <w:lang w:eastAsia="en-AU"/>
              </w:rPr>
            </w:pPr>
            <w:r w:rsidRPr="00237C09">
              <w:rPr>
                <w:rFonts w:ascii="Calibri" w:eastAsia="Times New Roman" w:hAnsi="Calibri" w:cs="Calibri"/>
                <w:color w:val="000000"/>
                <w:lang w:eastAsia="en-AU"/>
              </w:rPr>
              <w:t>Industrial</w:t>
            </w:r>
          </w:p>
        </w:tc>
        <w:tc>
          <w:tcPr>
            <w:tcW w:w="1380" w:type="dxa"/>
            <w:noWrap/>
            <w:hideMark/>
          </w:tcPr>
          <w:p w14:paraId="6A75CCC8" w14:textId="77777777" w:rsidR="008E0D45" w:rsidRPr="00237C09" w:rsidRDefault="008E0D45" w:rsidP="008E0D45">
            <w:pPr>
              <w:spacing w:after="0" w:line="240" w:lineRule="auto"/>
              <w:jc w:val="right"/>
              <w:rPr>
                <w:rFonts w:ascii="Calibri" w:eastAsia="Times New Roman" w:hAnsi="Calibri" w:cs="Calibri"/>
                <w:color w:val="000000"/>
                <w:lang w:eastAsia="en-AU"/>
              </w:rPr>
            </w:pPr>
            <w:r w:rsidRPr="00237C09">
              <w:rPr>
                <w:rFonts w:ascii="Calibri" w:eastAsia="Times New Roman" w:hAnsi="Calibri" w:cs="Calibri"/>
                <w:color w:val="000000"/>
                <w:lang w:eastAsia="en-AU"/>
              </w:rPr>
              <w:t>0.00581831</w:t>
            </w:r>
          </w:p>
        </w:tc>
        <w:tc>
          <w:tcPr>
            <w:tcW w:w="1360" w:type="dxa"/>
            <w:noWrap/>
            <w:hideMark/>
          </w:tcPr>
          <w:p w14:paraId="443E0785" w14:textId="79DD1D31" w:rsidR="008E0D45" w:rsidRPr="00237C09" w:rsidRDefault="008E0D45" w:rsidP="008E0D45">
            <w:pPr>
              <w:spacing w:after="0" w:line="240" w:lineRule="auto"/>
              <w:jc w:val="center"/>
              <w:rPr>
                <w:rFonts w:ascii="Calibri" w:eastAsia="Times New Roman" w:hAnsi="Calibri" w:cs="Calibri"/>
                <w:color w:val="000000"/>
                <w:lang w:eastAsia="en-AU"/>
              </w:rPr>
            </w:pPr>
            <w:r w:rsidRPr="00237C09">
              <w:rPr>
                <w:rFonts w:ascii="Calibri" w:eastAsia="Times New Roman" w:hAnsi="Calibri" w:cs="Calibri"/>
                <w:color w:val="000000"/>
                <w:lang w:eastAsia="en-AU"/>
              </w:rPr>
              <w:t>2.54</w:t>
            </w:r>
            <w:r>
              <w:rPr>
                <w:rFonts w:ascii="Calibri" w:eastAsia="Times New Roman" w:hAnsi="Calibri" w:cs="Calibri"/>
                <w:color w:val="000000"/>
                <w:lang w:eastAsia="en-AU"/>
              </w:rPr>
              <w:t xml:space="preserve"> x</w:t>
            </w:r>
          </w:p>
        </w:tc>
        <w:tc>
          <w:tcPr>
            <w:tcW w:w="1658" w:type="dxa"/>
            <w:vAlign w:val="bottom"/>
          </w:tcPr>
          <w:p w14:paraId="60C27FB7" w14:textId="2A0E1E93" w:rsidR="008E0D45" w:rsidRPr="00237C09" w:rsidRDefault="008E0D45" w:rsidP="008E0D45">
            <w:pPr>
              <w:spacing w:after="0" w:line="240" w:lineRule="auto"/>
              <w:jc w:val="center"/>
              <w:rPr>
                <w:rFonts w:ascii="Calibri" w:eastAsia="Times New Roman" w:hAnsi="Calibri" w:cs="Calibri"/>
                <w:color w:val="000000"/>
                <w:lang w:eastAsia="en-AU"/>
              </w:rPr>
            </w:pPr>
            <w:r>
              <w:rPr>
                <w:rFonts w:ascii="Calibri" w:hAnsi="Calibri" w:cs="Calibri"/>
                <w:color w:val="000000"/>
              </w:rPr>
              <w:t xml:space="preserve">$5,818 </w:t>
            </w:r>
          </w:p>
        </w:tc>
      </w:tr>
      <w:tr w:rsidR="008E0D45" w:rsidRPr="00237C09" w14:paraId="549A0F12" w14:textId="20AA7AA1" w:rsidTr="00746621">
        <w:trPr>
          <w:trHeight w:val="290"/>
        </w:trPr>
        <w:tc>
          <w:tcPr>
            <w:tcW w:w="2260" w:type="dxa"/>
            <w:noWrap/>
            <w:hideMark/>
          </w:tcPr>
          <w:p w14:paraId="6F27B911" w14:textId="77777777" w:rsidR="008E0D45" w:rsidRPr="00237C09" w:rsidRDefault="008E0D45" w:rsidP="008E0D45">
            <w:pPr>
              <w:spacing w:after="0" w:line="240" w:lineRule="auto"/>
              <w:rPr>
                <w:rFonts w:ascii="Calibri" w:eastAsia="Times New Roman" w:hAnsi="Calibri" w:cs="Calibri"/>
                <w:color w:val="000000"/>
                <w:lang w:eastAsia="en-AU"/>
              </w:rPr>
            </w:pPr>
            <w:r w:rsidRPr="00237C09">
              <w:rPr>
                <w:rFonts w:ascii="Calibri" w:eastAsia="Times New Roman" w:hAnsi="Calibri" w:cs="Calibri"/>
                <w:color w:val="000000"/>
                <w:lang w:eastAsia="en-AU"/>
              </w:rPr>
              <w:t>Mixed Use</w:t>
            </w:r>
          </w:p>
        </w:tc>
        <w:tc>
          <w:tcPr>
            <w:tcW w:w="1380" w:type="dxa"/>
            <w:noWrap/>
            <w:hideMark/>
          </w:tcPr>
          <w:p w14:paraId="61F3BFCE" w14:textId="77777777" w:rsidR="008E0D45" w:rsidRPr="00237C09" w:rsidRDefault="008E0D45" w:rsidP="008E0D45">
            <w:pPr>
              <w:spacing w:after="0" w:line="240" w:lineRule="auto"/>
              <w:jc w:val="right"/>
              <w:rPr>
                <w:rFonts w:ascii="Calibri" w:eastAsia="Times New Roman" w:hAnsi="Calibri" w:cs="Calibri"/>
                <w:color w:val="000000"/>
                <w:lang w:eastAsia="en-AU"/>
              </w:rPr>
            </w:pPr>
            <w:r w:rsidRPr="00237C09">
              <w:rPr>
                <w:rFonts w:ascii="Calibri" w:eastAsia="Times New Roman" w:hAnsi="Calibri" w:cs="Calibri"/>
                <w:color w:val="000000"/>
                <w:lang w:eastAsia="en-AU"/>
              </w:rPr>
              <w:t>0.00331171</w:t>
            </w:r>
          </w:p>
        </w:tc>
        <w:tc>
          <w:tcPr>
            <w:tcW w:w="1360" w:type="dxa"/>
            <w:noWrap/>
            <w:hideMark/>
          </w:tcPr>
          <w:p w14:paraId="5F121AC6" w14:textId="047A8CA7" w:rsidR="008E0D45" w:rsidRPr="00237C09" w:rsidRDefault="008E0D45" w:rsidP="008E0D45">
            <w:pPr>
              <w:spacing w:after="0" w:line="240" w:lineRule="auto"/>
              <w:jc w:val="center"/>
              <w:rPr>
                <w:rFonts w:ascii="Calibri" w:eastAsia="Times New Roman" w:hAnsi="Calibri" w:cs="Calibri"/>
                <w:color w:val="000000"/>
                <w:lang w:eastAsia="en-AU"/>
              </w:rPr>
            </w:pPr>
            <w:r w:rsidRPr="00237C09">
              <w:rPr>
                <w:rFonts w:ascii="Calibri" w:eastAsia="Times New Roman" w:hAnsi="Calibri" w:cs="Calibri"/>
                <w:color w:val="000000"/>
                <w:lang w:eastAsia="en-AU"/>
              </w:rPr>
              <w:t>1.45</w:t>
            </w:r>
            <w:r>
              <w:rPr>
                <w:rFonts w:ascii="Calibri" w:eastAsia="Times New Roman" w:hAnsi="Calibri" w:cs="Calibri"/>
                <w:color w:val="000000"/>
                <w:lang w:eastAsia="en-AU"/>
              </w:rPr>
              <w:t xml:space="preserve"> x</w:t>
            </w:r>
          </w:p>
        </w:tc>
        <w:tc>
          <w:tcPr>
            <w:tcW w:w="1658" w:type="dxa"/>
            <w:vAlign w:val="bottom"/>
          </w:tcPr>
          <w:p w14:paraId="472F4296" w14:textId="7AB7BF85" w:rsidR="008E0D45" w:rsidRPr="00237C09" w:rsidRDefault="008E0D45" w:rsidP="008E0D45">
            <w:pPr>
              <w:spacing w:after="0" w:line="240" w:lineRule="auto"/>
              <w:jc w:val="center"/>
              <w:rPr>
                <w:rFonts w:ascii="Calibri" w:eastAsia="Times New Roman" w:hAnsi="Calibri" w:cs="Calibri"/>
                <w:color w:val="000000"/>
                <w:lang w:eastAsia="en-AU"/>
              </w:rPr>
            </w:pPr>
            <w:r>
              <w:rPr>
                <w:rFonts w:ascii="Calibri" w:hAnsi="Calibri" w:cs="Calibri"/>
                <w:color w:val="000000"/>
              </w:rPr>
              <w:t xml:space="preserve">$3,312 </w:t>
            </w:r>
          </w:p>
        </w:tc>
      </w:tr>
      <w:tr w:rsidR="008E0D45" w:rsidRPr="00237C09" w14:paraId="053D7D4B" w14:textId="7B1A54FF" w:rsidTr="00746621">
        <w:trPr>
          <w:trHeight w:val="290"/>
        </w:trPr>
        <w:tc>
          <w:tcPr>
            <w:tcW w:w="2260" w:type="dxa"/>
            <w:noWrap/>
            <w:hideMark/>
          </w:tcPr>
          <w:p w14:paraId="35410A05" w14:textId="77777777" w:rsidR="008E0D45" w:rsidRPr="00237C09" w:rsidRDefault="008E0D45" w:rsidP="008E0D45">
            <w:pPr>
              <w:spacing w:after="0" w:line="240" w:lineRule="auto"/>
              <w:rPr>
                <w:rFonts w:ascii="Calibri" w:eastAsia="Times New Roman" w:hAnsi="Calibri" w:cs="Calibri"/>
                <w:color w:val="000000"/>
                <w:lang w:eastAsia="en-AU"/>
              </w:rPr>
            </w:pPr>
            <w:r w:rsidRPr="00237C09">
              <w:rPr>
                <w:rFonts w:ascii="Calibri" w:eastAsia="Times New Roman" w:hAnsi="Calibri" w:cs="Calibri"/>
                <w:color w:val="000000"/>
                <w:lang w:eastAsia="en-AU"/>
              </w:rPr>
              <w:t>Farm</w:t>
            </w:r>
          </w:p>
        </w:tc>
        <w:tc>
          <w:tcPr>
            <w:tcW w:w="1380" w:type="dxa"/>
            <w:noWrap/>
            <w:hideMark/>
          </w:tcPr>
          <w:p w14:paraId="1B2A2B8C" w14:textId="77777777" w:rsidR="008E0D45" w:rsidRPr="00237C09" w:rsidRDefault="008E0D45" w:rsidP="008E0D45">
            <w:pPr>
              <w:spacing w:after="0" w:line="240" w:lineRule="auto"/>
              <w:jc w:val="right"/>
              <w:rPr>
                <w:rFonts w:ascii="Calibri" w:eastAsia="Times New Roman" w:hAnsi="Calibri" w:cs="Calibri"/>
                <w:color w:val="000000"/>
                <w:lang w:eastAsia="en-AU"/>
              </w:rPr>
            </w:pPr>
            <w:r w:rsidRPr="00237C09">
              <w:rPr>
                <w:rFonts w:ascii="Calibri" w:eastAsia="Times New Roman" w:hAnsi="Calibri" w:cs="Calibri"/>
                <w:color w:val="000000"/>
                <w:lang w:eastAsia="en-AU"/>
              </w:rPr>
              <w:t>0.00145458</w:t>
            </w:r>
          </w:p>
        </w:tc>
        <w:tc>
          <w:tcPr>
            <w:tcW w:w="1360" w:type="dxa"/>
            <w:noWrap/>
            <w:hideMark/>
          </w:tcPr>
          <w:p w14:paraId="3BD56982" w14:textId="015BCD9C" w:rsidR="008E0D45" w:rsidRPr="00237C09" w:rsidRDefault="008E0D45" w:rsidP="008E0D45">
            <w:pPr>
              <w:spacing w:after="0" w:line="240" w:lineRule="auto"/>
              <w:jc w:val="center"/>
              <w:rPr>
                <w:rFonts w:ascii="Calibri" w:eastAsia="Times New Roman" w:hAnsi="Calibri" w:cs="Calibri"/>
                <w:color w:val="000000"/>
                <w:lang w:eastAsia="en-AU"/>
              </w:rPr>
            </w:pPr>
            <w:r w:rsidRPr="00237C09">
              <w:rPr>
                <w:rFonts w:ascii="Calibri" w:eastAsia="Times New Roman" w:hAnsi="Calibri" w:cs="Calibri"/>
                <w:color w:val="000000"/>
                <w:lang w:eastAsia="en-AU"/>
              </w:rPr>
              <w:t>0.64</w:t>
            </w:r>
            <w:r>
              <w:rPr>
                <w:rFonts w:ascii="Calibri" w:eastAsia="Times New Roman" w:hAnsi="Calibri" w:cs="Calibri"/>
                <w:color w:val="000000"/>
                <w:lang w:eastAsia="en-AU"/>
              </w:rPr>
              <w:t xml:space="preserve"> x</w:t>
            </w:r>
          </w:p>
        </w:tc>
        <w:tc>
          <w:tcPr>
            <w:tcW w:w="1658" w:type="dxa"/>
            <w:vAlign w:val="bottom"/>
          </w:tcPr>
          <w:p w14:paraId="3C3BB90B" w14:textId="763B5483" w:rsidR="008E0D45" w:rsidRPr="00237C09" w:rsidRDefault="008E0D45" w:rsidP="008E0D45">
            <w:pPr>
              <w:spacing w:after="0" w:line="240" w:lineRule="auto"/>
              <w:jc w:val="center"/>
              <w:rPr>
                <w:rFonts w:ascii="Calibri" w:eastAsia="Times New Roman" w:hAnsi="Calibri" w:cs="Calibri"/>
                <w:color w:val="000000"/>
                <w:lang w:eastAsia="en-AU"/>
              </w:rPr>
            </w:pPr>
            <w:r>
              <w:rPr>
                <w:rFonts w:ascii="Calibri" w:hAnsi="Calibri" w:cs="Calibri"/>
                <w:color w:val="000000"/>
              </w:rPr>
              <w:t xml:space="preserve">$1,455 </w:t>
            </w:r>
          </w:p>
        </w:tc>
      </w:tr>
      <w:tr w:rsidR="008E0D45" w:rsidRPr="00237C09" w14:paraId="2345FA72" w14:textId="5A369EF4" w:rsidTr="00746621">
        <w:trPr>
          <w:trHeight w:val="290"/>
        </w:trPr>
        <w:tc>
          <w:tcPr>
            <w:tcW w:w="2260" w:type="dxa"/>
            <w:noWrap/>
            <w:hideMark/>
          </w:tcPr>
          <w:p w14:paraId="22FC4A4A" w14:textId="77777777" w:rsidR="008E0D45" w:rsidRPr="00237C09" w:rsidRDefault="008E0D45" w:rsidP="008E0D45">
            <w:pPr>
              <w:spacing w:after="0" w:line="240" w:lineRule="auto"/>
              <w:rPr>
                <w:rFonts w:ascii="Calibri" w:eastAsia="Times New Roman" w:hAnsi="Calibri" w:cs="Calibri"/>
                <w:color w:val="000000"/>
                <w:lang w:eastAsia="en-AU"/>
              </w:rPr>
            </w:pPr>
            <w:r w:rsidRPr="00237C09">
              <w:rPr>
                <w:rFonts w:ascii="Calibri" w:eastAsia="Times New Roman" w:hAnsi="Calibri" w:cs="Calibri"/>
                <w:color w:val="000000"/>
                <w:lang w:eastAsia="en-AU"/>
              </w:rPr>
              <w:t>Cultural &amp; Recreation</w:t>
            </w:r>
          </w:p>
        </w:tc>
        <w:tc>
          <w:tcPr>
            <w:tcW w:w="1380" w:type="dxa"/>
            <w:noWrap/>
            <w:hideMark/>
          </w:tcPr>
          <w:p w14:paraId="43BABA85" w14:textId="77777777" w:rsidR="008E0D45" w:rsidRPr="00237C09" w:rsidRDefault="008E0D45" w:rsidP="008E0D45">
            <w:pPr>
              <w:spacing w:after="0" w:line="240" w:lineRule="auto"/>
              <w:jc w:val="right"/>
              <w:rPr>
                <w:rFonts w:ascii="Calibri" w:eastAsia="Times New Roman" w:hAnsi="Calibri" w:cs="Calibri"/>
                <w:color w:val="000000"/>
                <w:lang w:eastAsia="en-AU"/>
              </w:rPr>
            </w:pPr>
            <w:r w:rsidRPr="00237C09">
              <w:rPr>
                <w:rFonts w:ascii="Calibri" w:eastAsia="Times New Roman" w:hAnsi="Calibri" w:cs="Calibri"/>
                <w:color w:val="000000"/>
                <w:lang w:eastAsia="en-AU"/>
              </w:rPr>
              <w:t>0.00171658</w:t>
            </w:r>
          </w:p>
        </w:tc>
        <w:tc>
          <w:tcPr>
            <w:tcW w:w="1360" w:type="dxa"/>
            <w:noWrap/>
            <w:hideMark/>
          </w:tcPr>
          <w:p w14:paraId="6D925EA6" w14:textId="1E982534" w:rsidR="008E0D45" w:rsidRPr="00237C09" w:rsidRDefault="008E0D45" w:rsidP="008E0D45">
            <w:pPr>
              <w:spacing w:after="0" w:line="240" w:lineRule="auto"/>
              <w:jc w:val="center"/>
              <w:rPr>
                <w:rFonts w:ascii="Calibri" w:eastAsia="Times New Roman" w:hAnsi="Calibri" w:cs="Calibri"/>
                <w:color w:val="000000"/>
                <w:lang w:eastAsia="en-AU"/>
              </w:rPr>
            </w:pPr>
            <w:r w:rsidRPr="00237C09">
              <w:rPr>
                <w:rFonts w:ascii="Calibri" w:eastAsia="Times New Roman" w:hAnsi="Calibri" w:cs="Calibri"/>
                <w:color w:val="000000"/>
                <w:lang w:eastAsia="en-AU"/>
              </w:rPr>
              <w:t>0.75</w:t>
            </w:r>
            <w:r>
              <w:rPr>
                <w:rFonts w:ascii="Calibri" w:eastAsia="Times New Roman" w:hAnsi="Calibri" w:cs="Calibri"/>
                <w:color w:val="000000"/>
                <w:lang w:eastAsia="en-AU"/>
              </w:rPr>
              <w:t xml:space="preserve"> x</w:t>
            </w:r>
          </w:p>
        </w:tc>
        <w:tc>
          <w:tcPr>
            <w:tcW w:w="1658" w:type="dxa"/>
            <w:vAlign w:val="bottom"/>
          </w:tcPr>
          <w:p w14:paraId="7C7CED2C" w14:textId="5D2627E4" w:rsidR="008E0D45" w:rsidRPr="00237C09" w:rsidRDefault="008E0D45" w:rsidP="008E0D45">
            <w:pPr>
              <w:spacing w:after="0" w:line="240" w:lineRule="auto"/>
              <w:jc w:val="center"/>
              <w:rPr>
                <w:rFonts w:ascii="Calibri" w:eastAsia="Times New Roman" w:hAnsi="Calibri" w:cs="Calibri"/>
                <w:color w:val="000000"/>
                <w:lang w:eastAsia="en-AU"/>
              </w:rPr>
            </w:pPr>
            <w:r>
              <w:rPr>
                <w:rFonts w:ascii="Calibri" w:hAnsi="Calibri" w:cs="Calibri"/>
                <w:color w:val="000000"/>
              </w:rPr>
              <w:t xml:space="preserve">$1,717 </w:t>
            </w:r>
          </w:p>
        </w:tc>
      </w:tr>
      <w:tr w:rsidR="008E0D45" w:rsidRPr="00237C09" w14:paraId="35CF1AD4" w14:textId="5FA3BED2" w:rsidTr="00746621">
        <w:trPr>
          <w:trHeight w:val="290"/>
        </w:trPr>
        <w:tc>
          <w:tcPr>
            <w:tcW w:w="2260" w:type="dxa"/>
            <w:noWrap/>
            <w:hideMark/>
          </w:tcPr>
          <w:p w14:paraId="4EA5AFDF" w14:textId="77777777" w:rsidR="008E0D45" w:rsidRPr="00237C09" w:rsidRDefault="008E0D45" w:rsidP="008E0D45">
            <w:pPr>
              <w:spacing w:after="0" w:line="240" w:lineRule="auto"/>
              <w:rPr>
                <w:rFonts w:ascii="Calibri" w:eastAsia="Times New Roman" w:hAnsi="Calibri" w:cs="Calibri"/>
                <w:color w:val="000000"/>
                <w:lang w:eastAsia="en-AU"/>
              </w:rPr>
            </w:pPr>
            <w:r w:rsidRPr="00237C09">
              <w:rPr>
                <w:rFonts w:ascii="Calibri" w:eastAsia="Times New Roman" w:hAnsi="Calibri" w:cs="Calibri"/>
                <w:color w:val="000000"/>
                <w:lang w:eastAsia="en-AU"/>
              </w:rPr>
              <w:t>Petroleum</w:t>
            </w:r>
          </w:p>
        </w:tc>
        <w:tc>
          <w:tcPr>
            <w:tcW w:w="1380" w:type="dxa"/>
            <w:noWrap/>
            <w:hideMark/>
          </w:tcPr>
          <w:p w14:paraId="4558CA4A" w14:textId="77777777" w:rsidR="008E0D45" w:rsidRPr="00237C09" w:rsidRDefault="008E0D45" w:rsidP="008E0D45">
            <w:pPr>
              <w:spacing w:after="0" w:line="240" w:lineRule="auto"/>
              <w:jc w:val="right"/>
              <w:rPr>
                <w:rFonts w:ascii="Calibri" w:eastAsia="Times New Roman" w:hAnsi="Calibri" w:cs="Calibri"/>
                <w:color w:val="000000"/>
                <w:lang w:eastAsia="en-AU"/>
              </w:rPr>
            </w:pPr>
            <w:r w:rsidRPr="00237C09">
              <w:rPr>
                <w:rFonts w:ascii="Calibri" w:eastAsia="Times New Roman" w:hAnsi="Calibri" w:cs="Calibri"/>
                <w:color w:val="000000"/>
                <w:lang w:eastAsia="en-AU"/>
              </w:rPr>
              <w:t>0.00581831</w:t>
            </w:r>
          </w:p>
        </w:tc>
        <w:tc>
          <w:tcPr>
            <w:tcW w:w="1360" w:type="dxa"/>
            <w:noWrap/>
            <w:hideMark/>
          </w:tcPr>
          <w:p w14:paraId="7A554F46" w14:textId="6FBEDE0D" w:rsidR="008E0D45" w:rsidRPr="00237C09" w:rsidRDefault="008E0D45" w:rsidP="008E0D45">
            <w:pPr>
              <w:spacing w:after="0" w:line="240" w:lineRule="auto"/>
              <w:jc w:val="center"/>
              <w:rPr>
                <w:rFonts w:ascii="Calibri" w:eastAsia="Times New Roman" w:hAnsi="Calibri" w:cs="Calibri"/>
                <w:color w:val="000000"/>
                <w:lang w:eastAsia="en-AU"/>
              </w:rPr>
            </w:pPr>
            <w:r w:rsidRPr="00237C09">
              <w:rPr>
                <w:rFonts w:ascii="Calibri" w:eastAsia="Times New Roman" w:hAnsi="Calibri" w:cs="Calibri"/>
                <w:color w:val="000000"/>
                <w:lang w:eastAsia="en-AU"/>
              </w:rPr>
              <w:t>2.54</w:t>
            </w:r>
            <w:r>
              <w:rPr>
                <w:rFonts w:ascii="Calibri" w:eastAsia="Times New Roman" w:hAnsi="Calibri" w:cs="Calibri"/>
                <w:color w:val="000000"/>
                <w:lang w:eastAsia="en-AU"/>
              </w:rPr>
              <w:t xml:space="preserve"> x</w:t>
            </w:r>
          </w:p>
        </w:tc>
        <w:tc>
          <w:tcPr>
            <w:tcW w:w="1658" w:type="dxa"/>
            <w:vAlign w:val="bottom"/>
          </w:tcPr>
          <w:p w14:paraId="27DC78A6" w14:textId="1BD52AE0" w:rsidR="008E0D45" w:rsidRPr="00237C09" w:rsidRDefault="008E0D45" w:rsidP="008E0D45">
            <w:pPr>
              <w:spacing w:after="0" w:line="240" w:lineRule="auto"/>
              <w:jc w:val="center"/>
              <w:rPr>
                <w:rFonts w:ascii="Calibri" w:eastAsia="Times New Roman" w:hAnsi="Calibri" w:cs="Calibri"/>
                <w:color w:val="000000"/>
                <w:lang w:eastAsia="en-AU"/>
              </w:rPr>
            </w:pPr>
            <w:r>
              <w:rPr>
                <w:rFonts w:ascii="Calibri" w:hAnsi="Calibri" w:cs="Calibri"/>
                <w:color w:val="000000"/>
              </w:rPr>
              <w:t xml:space="preserve">$5,818 </w:t>
            </w:r>
          </w:p>
        </w:tc>
      </w:tr>
    </w:tbl>
    <w:p w14:paraId="25BDA8AF" w14:textId="2743417C" w:rsidR="00237C09" w:rsidRDefault="00237C09" w:rsidP="00237C09"/>
    <w:p w14:paraId="629CF908" w14:textId="70A07F61" w:rsidR="008E0D45" w:rsidRDefault="00C6712E" w:rsidP="00237C09">
      <w:r>
        <w:rPr>
          <w:b/>
          <w:bCs/>
        </w:rPr>
        <w:t xml:space="preserve">Uniform Rate:  </w:t>
      </w:r>
      <w:r>
        <w:t>All the above rate types would have the same cents/$CIV.  Only differences in property valuations would lead to different rates being paid.  For example</w:t>
      </w:r>
      <w:r w:rsidR="008E0D45">
        <w:t>;</w:t>
      </w:r>
      <w:r>
        <w:t xml:space="preserve"> if a residential and commercial property was valued at $1,000,000 both rate payers would pay the same level of rates</w:t>
      </w:r>
    </w:p>
    <w:tbl>
      <w:tblPr>
        <w:tblStyle w:val="TableGrid"/>
        <w:tblW w:w="0" w:type="auto"/>
        <w:tblLook w:val="04A0" w:firstRow="1" w:lastRow="0" w:firstColumn="1" w:lastColumn="0" w:noHBand="0" w:noVBand="1"/>
      </w:tblPr>
      <w:tblGrid>
        <w:gridCol w:w="1693"/>
        <w:gridCol w:w="1398"/>
        <w:gridCol w:w="1473"/>
        <w:gridCol w:w="1626"/>
        <w:gridCol w:w="1550"/>
        <w:gridCol w:w="1276"/>
      </w:tblGrid>
      <w:tr w:rsidR="008E0D45" w14:paraId="79C37A2D" w14:textId="77777777" w:rsidTr="00012FFA">
        <w:tc>
          <w:tcPr>
            <w:tcW w:w="1696" w:type="dxa"/>
          </w:tcPr>
          <w:p w14:paraId="339506E8" w14:textId="77777777" w:rsidR="008E0D45" w:rsidRPr="00894548" w:rsidRDefault="008E0D45" w:rsidP="00012FFA">
            <w:pPr>
              <w:rPr>
                <w:b/>
                <w:bCs/>
              </w:rPr>
            </w:pPr>
          </w:p>
        </w:tc>
        <w:tc>
          <w:tcPr>
            <w:tcW w:w="1399" w:type="dxa"/>
          </w:tcPr>
          <w:p w14:paraId="7736AFDF" w14:textId="4C967D50" w:rsidR="008E0D45" w:rsidRPr="00894548" w:rsidRDefault="008E0D45" w:rsidP="008E0D45">
            <w:pPr>
              <w:jc w:val="center"/>
              <w:rPr>
                <w:b/>
                <w:bCs/>
              </w:rPr>
            </w:pPr>
            <w:r w:rsidRPr="00894548">
              <w:rPr>
                <w:b/>
                <w:bCs/>
              </w:rPr>
              <w:t>Residential</w:t>
            </w:r>
          </w:p>
        </w:tc>
        <w:tc>
          <w:tcPr>
            <w:tcW w:w="1474" w:type="dxa"/>
          </w:tcPr>
          <w:p w14:paraId="0805E3B1" w14:textId="445249CB" w:rsidR="008E0D45" w:rsidRPr="00894548" w:rsidRDefault="008E0D45" w:rsidP="008E0D45">
            <w:pPr>
              <w:jc w:val="center"/>
              <w:rPr>
                <w:b/>
                <w:bCs/>
              </w:rPr>
            </w:pPr>
            <w:r w:rsidRPr="00894548">
              <w:rPr>
                <w:b/>
                <w:bCs/>
              </w:rPr>
              <w:t>Vacant Land</w:t>
            </w:r>
          </w:p>
        </w:tc>
        <w:tc>
          <w:tcPr>
            <w:tcW w:w="1628" w:type="dxa"/>
          </w:tcPr>
          <w:p w14:paraId="64FCC382" w14:textId="77777777" w:rsidR="008E0D45" w:rsidRPr="00894548" w:rsidRDefault="008E0D45" w:rsidP="008E0D45">
            <w:pPr>
              <w:jc w:val="center"/>
              <w:rPr>
                <w:b/>
                <w:bCs/>
              </w:rPr>
            </w:pPr>
            <w:r w:rsidRPr="00894548">
              <w:rPr>
                <w:b/>
                <w:bCs/>
              </w:rPr>
              <w:t>Commercial</w:t>
            </w:r>
          </w:p>
        </w:tc>
        <w:tc>
          <w:tcPr>
            <w:tcW w:w="1552" w:type="dxa"/>
          </w:tcPr>
          <w:p w14:paraId="4FE533A2" w14:textId="77777777" w:rsidR="008E0D45" w:rsidRPr="00894548" w:rsidRDefault="008E0D45" w:rsidP="008E0D45">
            <w:pPr>
              <w:jc w:val="center"/>
              <w:rPr>
                <w:b/>
                <w:bCs/>
              </w:rPr>
            </w:pPr>
            <w:r w:rsidRPr="00894548">
              <w:rPr>
                <w:b/>
                <w:bCs/>
              </w:rPr>
              <w:t>Industrial</w:t>
            </w:r>
          </w:p>
        </w:tc>
        <w:tc>
          <w:tcPr>
            <w:tcW w:w="1267" w:type="dxa"/>
          </w:tcPr>
          <w:p w14:paraId="26FAACCA" w14:textId="77777777" w:rsidR="008E0D45" w:rsidRPr="00894548" w:rsidRDefault="008E0D45" w:rsidP="008E0D45">
            <w:pPr>
              <w:jc w:val="center"/>
              <w:rPr>
                <w:b/>
                <w:bCs/>
              </w:rPr>
            </w:pPr>
            <w:r w:rsidRPr="00894548">
              <w:rPr>
                <w:b/>
                <w:bCs/>
              </w:rPr>
              <w:t>Farm</w:t>
            </w:r>
          </w:p>
        </w:tc>
      </w:tr>
      <w:tr w:rsidR="008E0D45" w14:paraId="5A0E49CB" w14:textId="77777777" w:rsidTr="00012FFA">
        <w:tc>
          <w:tcPr>
            <w:tcW w:w="1696" w:type="dxa"/>
          </w:tcPr>
          <w:p w14:paraId="5B330469" w14:textId="77777777" w:rsidR="008E0D45" w:rsidRDefault="008E0D45" w:rsidP="00012FFA">
            <w:r>
              <w:t>Property Value</w:t>
            </w:r>
          </w:p>
        </w:tc>
        <w:tc>
          <w:tcPr>
            <w:tcW w:w="1399" w:type="dxa"/>
          </w:tcPr>
          <w:p w14:paraId="4F3D17EB" w14:textId="77777777" w:rsidR="008E0D45" w:rsidRDefault="008E0D45" w:rsidP="008E0D45">
            <w:pPr>
              <w:jc w:val="center"/>
            </w:pPr>
            <w:r>
              <w:t>$1,000,000</w:t>
            </w:r>
          </w:p>
        </w:tc>
        <w:tc>
          <w:tcPr>
            <w:tcW w:w="1474" w:type="dxa"/>
          </w:tcPr>
          <w:p w14:paraId="75CB8229" w14:textId="77777777" w:rsidR="008E0D45" w:rsidRDefault="008E0D45" w:rsidP="008E0D45">
            <w:pPr>
              <w:jc w:val="center"/>
            </w:pPr>
            <w:r>
              <w:t>$1,000,000</w:t>
            </w:r>
          </w:p>
        </w:tc>
        <w:tc>
          <w:tcPr>
            <w:tcW w:w="1628" w:type="dxa"/>
          </w:tcPr>
          <w:p w14:paraId="1B4D5F66" w14:textId="77777777" w:rsidR="008E0D45" w:rsidRDefault="008E0D45" w:rsidP="008E0D45">
            <w:pPr>
              <w:jc w:val="center"/>
            </w:pPr>
            <w:r>
              <w:t>$1,000,000</w:t>
            </w:r>
          </w:p>
        </w:tc>
        <w:tc>
          <w:tcPr>
            <w:tcW w:w="1552" w:type="dxa"/>
          </w:tcPr>
          <w:p w14:paraId="02519351" w14:textId="77777777" w:rsidR="008E0D45" w:rsidRDefault="008E0D45" w:rsidP="008E0D45">
            <w:pPr>
              <w:jc w:val="center"/>
            </w:pPr>
            <w:r>
              <w:t>$1,000,000</w:t>
            </w:r>
          </w:p>
        </w:tc>
        <w:tc>
          <w:tcPr>
            <w:tcW w:w="1267" w:type="dxa"/>
          </w:tcPr>
          <w:p w14:paraId="0E8D33F0" w14:textId="77777777" w:rsidR="008E0D45" w:rsidRDefault="008E0D45" w:rsidP="008E0D45">
            <w:pPr>
              <w:jc w:val="center"/>
            </w:pPr>
            <w:r>
              <w:t>$1,000,000</w:t>
            </w:r>
          </w:p>
        </w:tc>
      </w:tr>
      <w:tr w:rsidR="008E0D45" w14:paraId="1AD629AE" w14:textId="77777777" w:rsidTr="00012FFA">
        <w:tc>
          <w:tcPr>
            <w:tcW w:w="1696" w:type="dxa"/>
          </w:tcPr>
          <w:p w14:paraId="7131C5C9" w14:textId="77777777" w:rsidR="008E0D45" w:rsidRDefault="008E0D45" w:rsidP="008E0D45">
            <w:r>
              <w:t>Cents/ $CIV</w:t>
            </w:r>
          </w:p>
        </w:tc>
        <w:tc>
          <w:tcPr>
            <w:tcW w:w="1399" w:type="dxa"/>
          </w:tcPr>
          <w:p w14:paraId="1D7DB671" w14:textId="58D54929" w:rsidR="008E0D45" w:rsidRDefault="00221044" w:rsidP="008E0D45">
            <w:pPr>
              <w:jc w:val="center"/>
            </w:pPr>
            <w:r w:rsidRPr="00237C09">
              <w:rPr>
                <w:rFonts w:ascii="Calibri" w:eastAsia="Times New Roman" w:hAnsi="Calibri" w:cs="Calibri"/>
                <w:color w:val="000000"/>
                <w:lang w:eastAsia="en-AU"/>
              </w:rPr>
              <w:t>0.00331171</w:t>
            </w:r>
          </w:p>
        </w:tc>
        <w:tc>
          <w:tcPr>
            <w:tcW w:w="1474" w:type="dxa"/>
          </w:tcPr>
          <w:p w14:paraId="7ACCE1CB" w14:textId="09649426" w:rsidR="008E0D45" w:rsidRDefault="00221044" w:rsidP="008E0D45">
            <w:pPr>
              <w:jc w:val="center"/>
            </w:pPr>
            <w:r w:rsidRPr="00237C09">
              <w:rPr>
                <w:rFonts w:ascii="Calibri" w:eastAsia="Times New Roman" w:hAnsi="Calibri" w:cs="Calibri"/>
                <w:color w:val="000000"/>
                <w:lang w:eastAsia="en-AU"/>
              </w:rPr>
              <w:t>0.00331171</w:t>
            </w:r>
          </w:p>
        </w:tc>
        <w:tc>
          <w:tcPr>
            <w:tcW w:w="1628" w:type="dxa"/>
          </w:tcPr>
          <w:p w14:paraId="20FF134C" w14:textId="729418A5" w:rsidR="008E0D45" w:rsidRDefault="00221044" w:rsidP="008E0D45">
            <w:pPr>
              <w:jc w:val="center"/>
            </w:pPr>
            <w:r w:rsidRPr="00237C09">
              <w:rPr>
                <w:rFonts w:ascii="Calibri" w:eastAsia="Times New Roman" w:hAnsi="Calibri" w:cs="Calibri"/>
                <w:color w:val="000000"/>
                <w:lang w:eastAsia="en-AU"/>
              </w:rPr>
              <w:t>0.00331171</w:t>
            </w:r>
          </w:p>
        </w:tc>
        <w:tc>
          <w:tcPr>
            <w:tcW w:w="1552" w:type="dxa"/>
          </w:tcPr>
          <w:p w14:paraId="74940979" w14:textId="36825D8A" w:rsidR="008E0D45" w:rsidRDefault="00221044" w:rsidP="008E0D45">
            <w:pPr>
              <w:jc w:val="center"/>
            </w:pPr>
            <w:r w:rsidRPr="00237C09">
              <w:rPr>
                <w:rFonts w:ascii="Calibri" w:eastAsia="Times New Roman" w:hAnsi="Calibri" w:cs="Calibri"/>
                <w:color w:val="000000"/>
                <w:lang w:eastAsia="en-AU"/>
              </w:rPr>
              <w:t>0.00331171</w:t>
            </w:r>
          </w:p>
        </w:tc>
        <w:tc>
          <w:tcPr>
            <w:tcW w:w="1267" w:type="dxa"/>
          </w:tcPr>
          <w:p w14:paraId="6E3C5001" w14:textId="424B4AAE" w:rsidR="008E0D45" w:rsidRDefault="00221044" w:rsidP="008E0D45">
            <w:pPr>
              <w:jc w:val="center"/>
            </w:pPr>
            <w:r w:rsidRPr="00237C09">
              <w:rPr>
                <w:rFonts w:ascii="Calibri" w:eastAsia="Times New Roman" w:hAnsi="Calibri" w:cs="Calibri"/>
                <w:color w:val="000000"/>
                <w:lang w:eastAsia="en-AU"/>
              </w:rPr>
              <w:t>0.00331171</w:t>
            </w:r>
          </w:p>
        </w:tc>
      </w:tr>
      <w:tr w:rsidR="008E0D45" w14:paraId="5C718DD9" w14:textId="77777777" w:rsidTr="00012FFA">
        <w:tc>
          <w:tcPr>
            <w:tcW w:w="1696" w:type="dxa"/>
          </w:tcPr>
          <w:p w14:paraId="04DB6E72" w14:textId="7C5B6A3C" w:rsidR="008E0D45" w:rsidRPr="008E0D45" w:rsidRDefault="008E0D45" w:rsidP="008E0D45">
            <w:pPr>
              <w:rPr>
                <w:b/>
                <w:bCs/>
              </w:rPr>
            </w:pPr>
            <w:r>
              <w:rPr>
                <w:b/>
                <w:bCs/>
              </w:rPr>
              <w:t>Rates Payable</w:t>
            </w:r>
          </w:p>
        </w:tc>
        <w:tc>
          <w:tcPr>
            <w:tcW w:w="1399" w:type="dxa"/>
          </w:tcPr>
          <w:p w14:paraId="7128CB40" w14:textId="4D19076E" w:rsidR="008E0D45" w:rsidRPr="00221044" w:rsidRDefault="00221044" w:rsidP="008E0D45">
            <w:pPr>
              <w:jc w:val="center"/>
              <w:rPr>
                <w:b/>
                <w:bCs/>
              </w:rPr>
            </w:pPr>
            <w:r w:rsidRPr="00221044">
              <w:rPr>
                <w:rFonts w:ascii="Calibri" w:hAnsi="Calibri" w:cs="Calibri"/>
                <w:b/>
                <w:bCs/>
                <w:color w:val="000000"/>
              </w:rPr>
              <w:t>$3,312</w:t>
            </w:r>
          </w:p>
        </w:tc>
        <w:tc>
          <w:tcPr>
            <w:tcW w:w="1474" w:type="dxa"/>
          </w:tcPr>
          <w:p w14:paraId="450A4D29" w14:textId="543EEDFD" w:rsidR="008E0D45" w:rsidRPr="00221044" w:rsidRDefault="00221044" w:rsidP="008E0D45">
            <w:pPr>
              <w:jc w:val="center"/>
              <w:rPr>
                <w:b/>
                <w:bCs/>
              </w:rPr>
            </w:pPr>
            <w:r w:rsidRPr="00221044">
              <w:rPr>
                <w:rFonts w:ascii="Calibri" w:hAnsi="Calibri" w:cs="Calibri"/>
                <w:b/>
                <w:bCs/>
                <w:color w:val="000000"/>
              </w:rPr>
              <w:t>$3,312</w:t>
            </w:r>
          </w:p>
        </w:tc>
        <w:tc>
          <w:tcPr>
            <w:tcW w:w="1628" w:type="dxa"/>
          </w:tcPr>
          <w:p w14:paraId="373F01ED" w14:textId="0D3CD363" w:rsidR="008E0D45" w:rsidRPr="00221044" w:rsidRDefault="00221044" w:rsidP="008E0D45">
            <w:pPr>
              <w:jc w:val="center"/>
              <w:rPr>
                <w:b/>
                <w:bCs/>
              </w:rPr>
            </w:pPr>
            <w:r w:rsidRPr="00221044">
              <w:rPr>
                <w:rFonts w:ascii="Calibri" w:hAnsi="Calibri" w:cs="Calibri"/>
                <w:b/>
                <w:bCs/>
                <w:color w:val="000000"/>
              </w:rPr>
              <w:t>$3,312</w:t>
            </w:r>
          </w:p>
        </w:tc>
        <w:tc>
          <w:tcPr>
            <w:tcW w:w="1552" w:type="dxa"/>
          </w:tcPr>
          <w:p w14:paraId="0739A762" w14:textId="71863396" w:rsidR="008E0D45" w:rsidRPr="00221044" w:rsidRDefault="00221044" w:rsidP="008E0D45">
            <w:pPr>
              <w:jc w:val="center"/>
              <w:rPr>
                <w:b/>
                <w:bCs/>
              </w:rPr>
            </w:pPr>
            <w:r w:rsidRPr="00221044">
              <w:rPr>
                <w:rFonts w:ascii="Calibri" w:hAnsi="Calibri" w:cs="Calibri"/>
                <w:b/>
                <w:bCs/>
                <w:color w:val="000000"/>
              </w:rPr>
              <w:t>$3,312</w:t>
            </w:r>
          </w:p>
        </w:tc>
        <w:tc>
          <w:tcPr>
            <w:tcW w:w="1267" w:type="dxa"/>
          </w:tcPr>
          <w:p w14:paraId="49D71C9D" w14:textId="4475EB4A" w:rsidR="008E0D45" w:rsidRPr="00221044" w:rsidRDefault="00221044" w:rsidP="008E0D45">
            <w:pPr>
              <w:jc w:val="center"/>
              <w:rPr>
                <w:b/>
                <w:bCs/>
              </w:rPr>
            </w:pPr>
            <w:r w:rsidRPr="00221044">
              <w:rPr>
                <w:rFonts w:ascii="Calibri" w:hAnsi="Calibri" w:cs="Calibri"/>
                <w:b/>
                <w:bCs/>
                <w:color w:val="000000"/>
              </w:rPr>
              <w:t>$3,312</w:t>
            </w:r>
          </w:p>
        </w:tc>
      </w:tr>
    </w:tbl>
    <w:p w14:paraId="3E657190" w14:textId="77777777" w:rsidR="007D5246" w:rsidRPr="007D5246" w:rsidRDefault="007D5246" w:rsidP="00237C09">
      <w:pPr>
        <w:rPr>
          <w:b/>
          <w:bCs/>
          <w:sz w:val="12"/>
          <w:szCs w:val="12"/>
        </w:rPr>
      </w:pPr>
    </w:p>
    <w:p w14:paraId="0B83D352" w14:textId="0FA81620" w:rsidR="00C6712E" w:rsidRDefault="00C6712E" w:rsidP="00237C09">
      <w:r>
        <w:rPr>
          <w:b/>
          <w:bCs/>
        </w:rPr>
        <w:t xml:space="preserve">Current Strategy: </w:t>
      </w:r>
      <w:r>
        <w:t xml:space="preserve"> apply minor changes to the cents/$ based on approved increases and changes in property values.  The </w:t>
      </w:r>
      <w:r w:rsidR="005A3B7F">
        <w:t>relativity</w:t>
      </w:r>
      <w:r>
        <w:t xml:space="preserve"> to residential rates would largely remain unchanged.</w:t>
      </w:r>
    </w:p>
    <w:p w14:paraId="5A33F22F" w14:textId="049D159C" w:rsidR="00C6712E" w:rsidRDefault="005A3B7F" w:rsidP="00237C09">
      <w:r>
        <w:rPr>
          <w:b/>
          <w:bCs/>
        </w:rPr>
        <w:t>Moving a greater portion of the distribution to residential payers:</w:t>
      </w:r>
      <w:r w:rsidR="00C6712E">
        <w:t xml:space="preserve"> </w:t>
      </w:r>
      <w:r>
        <w:t xml:space="preserve">Commercial/Industrial will see a </w:t>
      </w:r>
      <w:r w:rsidRPr="005A3B7F">
        <w:rPr>
          <w:u w:val="single"/>
        </w:rPr>
        <w:t>reduction</w:t>
      </w:r>
      <w:r>
        <w:t xml:space="preserve"> in the cents/$ to become closer to residential.  To maintain overall revenue levels residential and other property types will need to contribute more.</w:t>
      </w:r>
    </w:p>
    <w:p w14:paraId="3E07B07F" w14:textId="38789EA7" w:rsidR="005A3B7F" w:rsidRDefault="005A3B7F" w:rsidP="005A3B7F">
      <w:r>
        <w:rPr>
          <w:b/>
          <w:bCs/>
        </w:rPr>
        <w:t>Moving a greater portion of the distribution to commercial/industrial:</w:t>
      </w:r>
      <w:r>
        <w:t xml:space="preserve"> Commercial/Industrial will see an </w:t>
      </w:r>
      <w:r w:rsidRPr="005A3B7F">
        <w:rPr>
          <w:u w:val="single"/>
        </w:rPr>
        <w:t xml:space="preserve">increase </w:t>
      </w:r>
      <w:r>
        <w:t xml:space="preserve">in the cents/$ so they contribute more towards the total rates and charges income.  This will see residential and other property types contribute less. </w:t>
      </w:r>
    </w:p>
    <w:p w14:paraId="4D6C6F30" w14:textId="2BD15EC0" w:rsidR="005A3B7F" w:rsidRDefault="005A3B7F" w:rsidP="0096051B">
      <w:pPr>
        <w:pBdr>
          <w:bottom w:val="single" w:sz="4" w:space="1" w:color="auto"/>
        </w:pBdr>
        <w:rPr>
          <w:b/>
          <w:bCs/>
        </w:rPr>
      </w:pPr>
      <w:r>
        <w:rPr>
          <w:b/>
          <w:bCs/>
        </w:rPr>
        <w:t>Question 6</w:t>
      </w:r>
    </w:p>
    <w:p w14:paraId="29B8A913" w14:textId="77777777" w:rsidR="0096051B" w:rsidRPr="0096051B" w:rsidRDefault="0096051B" w:rsidP="0096051B">
      <w:pPr>
        <w:pStyle w:val="BodyText"/>
        <w:rPr>
          <w:rFonts w:ascii="Arial" w:hAnsi="Arial" w:cs="Arial"/>
        </w:rPr>
      </w:pPr>
      <w:r w:rsidRPr="0096051B">
        <w:rPr>
          <w:rFonts w:ascii="Arial" w:hAnsi="Arial" w:cs="Arial"/>
        </w:rPr>
        <w:lastRenderedPageBreak/>
        <w:t>It is the intention of Council’s medium term (2021-22 to 2024-25) and long-term (to 2031-32) rating strategy to:</w:t>
      </w:r>
    </w:p>
    <w:p w14:paraId="2C3B06BC" w14:textId="77777777" w:rsidR="0096051B" w:rsidRPr="0096051B" w:rsidRDefault="0096051B" w:rsidP="0096051B">
      <w:pPr>
        <w:pStyle w:val="BodyText"/>
        <w:numPr>
          <w:ilvl w:val="0"/>
          <w:numId w:val="2"/>
        </w:numPr>
        <w:ind w:left="709" w:hanging="283"/>
        <w:rPr>
          <w:rFonts w:ascii="Arial" w:hAnsi="Arial" w:cs="Arial"/>
        </w:rPr>
      </w:pPr>
      <w:r w:rsidRPr="0096051B">
        <w:rPr>
          <w:rFonts w:ascii="Arial" w:hAnsi="Arial" w:cs="Arial"/>
        </w:rPr>
        <w:t>Maintain rate increases in alignment with State Government rate cap, unless significant circumstances warrant a request for a variation to the rate cap.</w:t>
      </w:r>
    </w:p>
    <w:p w14:paraId="6F7E230D" w14:textId="77777777" w:rsidR="0096051B" w:rsidRPr="0096051B" w:rsidRDefault="0096051B" w:rsidP="0096051B">
      <w:pPr>
        <w:pStyle w:val="BodyText"/>
        <w:numPr>
          <w:ilvl w:val="0"/>
          <w:numId w:val="2"/>
        </w:numPr>
        <w:ind w:left="709" w:hanging="283"/>
        <w:rPr>
          <w:rFonts w:ascii="Arial" w:hAnsi="Arial" w:cs="Arial"/>
        </w:rPr>
      </w:pPr>
      <w:r w:rsidRPr="0096051B">
        <w:rPr>
          <w:rFonts w:ascii="Arial" w:hAnsi="Arial" w:cs="Arial"/>
        </w:rPr>
        <w:t xml:space="preserve">Continue to align commercial, industrial and petroleum rate differentials over the medium term under the horizontal equity principle (refer above). </w:t>
      </w:r>
    </w:p>
    <w:p w14:paraId="551391DF" w14:textId="77777777" w:rsidR="0096051B" w:rsidRPr="0096051B" w:rsidRDefault="0096051B" w:rsidP="0096051B">
      <w:pPr>
        <w:pStyle w:val="BodyText"/>
        <w:numPr>
          <w:ilvl w:val="0"/>
          <w:numId w:val="2"/>
        </w:numPr>
        <w:ind w:left="709" w:hanging="283"/>
        <w:rPr>
          <w:rFonts w:ascii="Arial" w:hAnsi="Arial" w:cs="Arial"/>
        </w:rPr>
      </w:pPr>
      <w:r w:rsidRPr="0096051B">
        <w:rPr>
          <w:rFonts w:ascii="Arial" w:hAnsi="Arial" w:cs="Arial"/>
        </w:rPr>
        <w:t>Reduce the commercial, industrial and petroleum differentials relative to the residential differentials over the medium and long term as opportunities arise in the setting of the annual rate cap and valuation changes allow. The target state to be set in the range between 1.5 and 1.8 times the residential differential by 2031-32.</w:t>
      </w:r>
    </w:p>
    <w:p w14:paraId="6AD0046E" w14:textId="77777777" w:rsidR="0096051B" w:rsidRPr="0096051B" w:rsidRDefault="0096051B" w:rsidP="0096051B">
      <w:pPr>
        <w:pStyle w:val="BodyText"/>
        <w:numPr>
          <w:ilvl w:val="0"/>
          <w:numId w:val="2"/>
        </w:numPr>
        <w:ind w:left="709" w:hanging="283"/>
        <w:rPr>
          <w:rFonts w:ascii="Arial" w:hAnsi="Arial" w:cs="Arial"/>
        </w:rPr>
      </w:pPr>
      <w:r w:rsidRPr="0096051B">
        <w:rPr>
          <w:rFonts w:ascii="Arial" w:hAnsi="Arial" w:cs="Arial"/>
        </w:rPr>
        <w:t>Residential rates will, depending on the movement in valuations, need to increase at amounts higher than the rate cap over the medium and long term in order to reduce the relativity of the commercial and industrial rating differentials.</w:t>
      </w:r>
    </w:p>
    <w:p w14:paraId="4946E9CB" w14:textId="77777777" w:rsidR="0096051B" w:rsidRPr="0096051B" w:rsidRDefault="0096051B" w:rsidP="0096051B">
      <w:pPr>
        <w:pStyle w:val="BodyText"/>
        <w:numPr>
          <w:ilvl w:val="0"/>
          <w:numId w:val="2"/>
        </w:numPr>
        <w:ind w:left="709" w:hanging="283"/>
        <w:rPr>
          <w:rFonts w:ascii="Arial" w:hAnsi="Arial" w:cs="Arial"/>
        </w:rPr>
      </w:pPr>
      <w:r w:rsidRPr="0096051B">
        <w:rPr>
          <w:rFonts w:ascii="Arial" w:hAnsi="Arial" w:cs="Arial"/>
        </w:rPr>
        <w:t>The current Farm rebate is transitioned out over the medium term to allow all differential rates to be managed solely within the 4 times rule.</w:t>
      </w:r>
    </w:p>
    <w:p w14:paraId="4083F813" w14:textId="77777777" w:rsidR="0096051B" w:rsidRPr="0096051B" w:rsidRDefault="0096051B" w:rsidP="0096051B">
      <w:pPr>
        <w:pStyle w:val="BodyText"/>
        <w:numPr>
          <w:ilvl w:val="0"/>
          <w:numId w:val="2"/>
        </w:numPr>
        <w:ind w:left="709" w:hanging="283"/>
        <w:rPr>
          <w:rFonts w:ascii="Arial" w:hAnsi="Arial" w:cs="Arial"/>
        </w:rPr>
      </w:pPr>
      <w:r w:rsidRPr="0096051B">
        <w:rPr>
          <w:rFonts w:ascii="Arial" w:hAnsi="Arial" w:cs="Arial"/>
        </w:rPr>
        <w:t xml:space="preserve">The Farm rate differential to be set at 75% of the residential rates over the medium to long term.   </w:t>
      </w:r>
    </w:p>
    <w:p w14:paraId="21D0B6E3" w14:textId="77777777" w:rsidR="0096051B" w:rsidRPr="0096051B" w:rsidRDefault="0096051B" w:rsidP="0096051B">
      <w:pPr>
        <w:pStyle w:val="BodyText"/>
        <w:numPr>
          <w:ilvl w:val="0"/>
          <w:numId w:val="2"/>
        </w:numPr>
        <w:ind w:left="709" w:hanging="283"/>
        <w:rPr>
          <w:rFonts w:ascii="Arial" w:hAnsi="Arial" w:cs="Arial"/>
        </w:rPr>
      </w:pPr>
      <w:r w:rsidRPr="0096051B">
        <w:rPr>
          <w:rFonts w:ascii="Arial" w:hAnsi="Arial" w:cs="Arial"/>
        </w:rPr>
        <w:t xml:space="preserve">All rating differentials including vacant land, mixed use and other land use types will continue to be reviewed on an annual basis.  </w:t>
      </w:r>
    </w:p>
    <w:p w14:paraId="04E768DF" w14:textId="45575C30" w:rsidR="005804D5" w:rsidRPr="009A267E" w:rsidRDefault="005804D5" w:rsidP="009A267E">
      <w:pPr>
        <w:spacing w:before="240" w:after="240"/>
        <w:jc w:val="both"/>
        <w:rPr>
          <w:rFonts w:ascii="Arial" w:hAnsi="Arial" w:cs="Arial"/>
          <w:sz w:val="19"/>
          <w:szCs w:val="19"/>
        </w:rPr>
      </w:pPr>
      <w:r w:rsidRPr="009A267E">
        <w:rPr>
          <w:rFonts w:ascii="Arial" w:hAnsi="Arial" w:cs="Arial"/>
          <w:sz w:val="19"/>
          <w:szCs w:val="19"/>
        </w:rPr>
        <w:t xml:space="preserve">The Council’s current strategy is to </w:t>
      </w:r>
      <w:r w:rsidR="00A45FAB" w:rsidRPr="009A267E">
        <w:rPr>
          <w:rFonts w:ascii="Arial" w:hAnsi="Arial" w:cs="Arial"/>
          <w:sz w:val="19"/>
          <w:szCs w:val="19"/>
        </w:rPr>
        <w:t xml:space="preserve">redistribute rate contributions between residential and </w:t>
      </w:r>
      <w:r w:rsidR="00DE4312" w:rsidRPr="009A267E">
        <w:rPr>
          <w:rFonts w:ascii="Arial" w:hAnsi="Arial" w:cs="Arial"/>
          <w:sz w:val="19"/>
          <w:szCs w:val="19"/>
        </w:rPr>
        <w:t>commercial</w:t>
      </w:r>
      <w:r w:rsidR="00A45FAB" w:rsidRPr="009A267E">
        <w:rPr>
          <w:rFonts w:ascii="Arial" w:hAnsi="Arial" w:cs="Arial"/>
          <w:sz w:val="19"/>
          <w:szCs w:val="19"/>
        </w:rPr>
        <w:t>/industrial prope</w:t>
      </w:r>
      <w:r w:rsidR="00DE4312" w:rsidRPr="009A267E">
        <w:rPr>
          <w:rFonts w:ascii="Arial" w:hAnsi="Arial" w:cs="Arial"/>
          <w:sz w:val="19"/>
          <w:szCs w:val="19"/>
        </w:rPr>
        <w:t xml:space="preserve">rties. Over </w:t>
      </w:r>
      <w:proofErr w:type="gramStart"/>
      <w:r w:rsidR="00DE4312" w:rsidRPr="009A267E">
        <w:rPr>
          <w:rFonts w:ascii="Arial" w:hAnsi="Arial" w:cs="Arial"/>
          <w:sz w:val="19"/>
          <w:szCs w:val="19"/>
        </w:rPr>
        <w:t>a period of time</w:t>
      </w:r>
      <w:proofErr w:type="gramEnd"/>
      <w:r w:rsidR="00DE4312" w:rsidRPr="009A267E">
        <w:rPr>
          <w:rFonts w:ascii="Arial" w:hAnsi="Arial" w:cs="Arial"/>
          <w:sz w:val="19"/>
          <w:szCs w:val="19"/>
        </w:rPr>
        <w:t xml:space="preserve"> approximately </w:t>
      </w:r>
      <w:r w:rsidR="00DE4312" w:rsidRPr="009A267E">
        <w:rPr>
          <w:rFonts w:ascii="Arial" w:hAnsi="Arial" w:cs="Arial"/>
          <w:b/>
          <w:bCs/>
          <w:sz w:val="19"/>
          <w:szCs w:val="19"/>
        </w:rPr>
        <w:t xml:space="preserve">$15-20m </w:t>
      </w:r>
      <w:r w:rsidR="00DE4312" w:rsidRPr="009A267E">
        <w:rPr>
          <w:rFonts w:ascii="Arial" w:hAnsi="Arial" w:cs="Arial"/>
          <w:sz w:val="19"/>
          <w:szCs w:val="19"/>
        </w:rPr>
        <w:t xml:space="preserve">of rate revenue will be redistributed from </w:t>
      </w:r>
      <w:r w:rsidR="009A267E" w:rsidRPr="009A267E">
        <w:rPr>
          <w:rFonts w:ascii="Arial" w:hAnsi="Arial" w:cs="Arial"/>
          <w:sz w:val="19"/>
          <w:szCs w:val="19"/>
        </w:rPr>
        <w:t>commercial/industrial and largely to residential</w:t>
      </w:r>
    </w:p>
    <w:p w14:paraId="79BAA463" w14:textId="53C44FD1" w:rsidR="005804D5" w:rsidRDefault="005804D5" w:rsidP="0096051B">
      <w:r>
        <w:rPr>
          <w:b/>
          <w:bCs/>
        </w:rPr>
        <w:t>Gradually change over 10 years:</w:t>
      </w:r>
      <w:r w:rsidR="00B864E6">
        <w:rPr>
          <w:b/>
          <w:bCs/>
        </w:rPr>
        <w:t xml:space="preserve">  </w:t>
      </w:r>
      <w:r w:rsidR="00B864E6">
        <w:t>where valuations allow, residential properties will likely see</w:t>
      </w:r>
      <w:r w:rsidR="00006E7C">
        <w:t xml:space="preserve"> marginal</w:t>
      </w:r>
      <w:r w:rsidR="00B864E6">
        <w:t xml:space="preserve"> </w:t>
      </w:r>
      <w:r w:rsidR="00D021F4">
        <w:t xml:space="preserve">cent/$ increase each year above the </w:t>
      </w:r>
      <w:r w:rsidR="00006E7C">
        <w:t>rate cap. Commercial and industrial rate payers will see a marginal reduction in the cent/$.</w:t>
      </w:r>
    </w:p>
    <w:p w14:paraId="24347370" w14:textId="0E790F00" w:rsidR="00006E7C" w:rsidRDefault="00006E7C" w:rsidP="00006E7C">
      <w:r>
        <w:rPr>
          <w:b/>
          <w:bCs/>
        </w:rPr>
        <w:t xml:space="preserve">Faster over 4 years:  </w:t>
      </w:r>
      <w:r>
        <w:t>where valuations allow, residential properties will likely see moderate cent/$ increase each year above the rate cap. Commercial and industrial rate payers will see a moderate reduction in the cent/$.</w:t>
      </w:r>
    </w:p>
    <w:p w14:paraId="3E14F783" w14:textId="65E26A44" w:rsidR="00006E7C" w:rsidRDefault="00006E7C" w:rsidP="00006E7C">
      <w:r>
        <w:rPr>
          <w:b/>
          <w:bCs/>
        </w:rPr>
        <w:t xml:space="preserve">Immediate change over 1 year:  </w:t>
      </w:r>
      <w:r>
        <w:t>where valuations allow, residential properties will likely see a significant increase cent/$ increase in the year the strategy is applied. Commercial and industrial rate payers will see a significant reduction in the cent</w:t>
      </w:r>
      <w:r w:rsidR="00C80590">
        <w:t>/$.</w:t>
      </w:r>
    </w:p>
    <w:p w14:paraId="58954809" w14:textId="71F95E54" w:rsidR="007D5246" w:rsidRDefault="007D5246" w:rsidP="0096051B"/>
    <w:p w14:paraId="06A4AD49" w14:textId="24280A7F" w:rsidR="007D5246" w:rsidRDefault="007D5246" w:rsidP="007D5246">
      <w:pPr>
        <w:jc w:val="center"/>
      </w:pPr>
      <w:r>
        <w:t>---</w:t>
      </w:r>
    </w:p>
    <w:p w14:paraId="55223BBC" w14:textId="1D5A8B51" w:rsidR="007D5246" w:rsidRDefault="007D5246" w:rsidP="0096051B"/>
    <w:p w14:paraId="359F6B1B" w14:textId="07C201CC" w:rsidR="007D5246" w:rsidRPr="00B864E6" w:rsidRDefault="007D5246" w:rsidP="0096051B"/>
    <w:sectPr w:rsidR="007D5246" w:rsidRPr="00B864E6" w:rsidSect="0063323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122CD" w14:textId="77777777" w:rsidR="00885E18" w:rsidRDefault="00885E18" w:rsidP="00D34129">
      <w:pPr>
        <w:spacing w:after="0" w:line="240" w:lineRule="auto"/>
      </w:pPr>
      <w:r>
        <w:separator/>
      </w:r>
    </w:p>
  </w:endnote>
  <w:endnote w:type="continuationSeparator" w:id="0">
    <w:p w14:paraId="440EEE48" w14:textId="77777777" w:rsidR="00885E18" w:rsidRDefault="00885E18" w:rsidP="00D34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45CE" w14:textId="77777777" w:rsidR="00CC26A2" w:rsidRDefault="00CC2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C908" w14:textId="27D05E8B" w:rsidR="00D34129" w:rsidRDefault="007D5246">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Pr="007D5246">
      <w:t xml:space="preserve">City of Greater Geelong Revenue and Rating Plan </w:t>
    </w:r>
    <w:r w:rsidR="00633235">
      <w:t>–</w:t>
    </w:r>
    <w:r w:rsidRPr="007D5246">
      <w:t xml:space="preserve"> Fact</w:t>
    </w:r>
    <w:r w:rsidR="00633235">
      <w:t xml:space="preserve"> S</w:t>
    </w:r>
    <w:r w:rsidRPr="007D5246">
      <w:t>heet</w:t>
    </w:r>
    <w:r w:rsidRPr="007D5246">
      <w:tab/>
      <w:t xml:space="preserve"> July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03A9" w14:textId="77777777" w:rsidR="00CC26A2" w:rsidRDefault="00CC2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D70FC" w14:textId="77777777" w:rsidR="00885E18" w:rsidRDefault="00885E18" w:rsidP="00D34129">
      <w:pPr>
        <w:spacing w:after="0" w:line="240" w:lineRule="auto"/>
      </w:pPr>
      <w:r>
        <w:separator/>
      </w:r>
    </w:p>
  </w:footnote>
  <w:footnote w:type="continuationSeparator" w:id="0">
    <w:p w14:paraId="3268764B" w14:textId="77777777" w:rsidR="00885E18" w:rsidRDefault="00885E18" w:rsidP="00D34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CA9C" w14:textId="77777777" w:rsidR="00CC26A2" w:rsidRDefault="00CC2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BDCF0" w14:textId="77777777" w:rsidR="00CC26A2" w:rsidRDefault="00CC2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EC2AD" w14:textId="77777777" w:rsidR="00CC26A2" w:rsidRDefault="00CC2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241B7"/>
    <w:multiLevelType w:val="hybridMultilevel"/>
    <w:tmpl w:val="7CBA9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F416DA"/>
    <w:multiLevelType w:val="hybridMultilevel"/>
    <w:tmpl w:val="D5CED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8D03AE"/>
    <w:multiLevelType w:val="hybridMultilevel"/>
    <w:tmpl w:val="B086A4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0B43D0"/>
    <w:multiLevelType w:val="hybridMultilevel"/>
    <w:tmpl w:val="DEC2345C"/>
    <w:lvl w:ilvl="0" w:tplc="78A26ACE">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29"/>
    <w:rsid w:val="000031E9"/>
    <w:rsid w:val="00006E7C"/>
    <w:rsid w:val="00221044"/>
    <w:rsid w:val="00237C09"/>
    <w:rsid w:val="00293961"/>
    <w:rsid w:val="00351A5F"/>
    <w:rsid w:val="00490FDA"/>
    <w:rsid w:val="005804D5"/>
    <w:rsid w:val="005A3B7F"/>
    <w:rsid w:val="00633235"/>
    <w:rsid w:val="006E2366"/>
    <w:rsid w:val="007D5246"/>
    <w:rsid w:val="00885E18"/>
    <w:rsid w:val="00894548"/>
    <w:rsid w:val="008E0D45"/>
    <w:rsid w:val="0096051B"/>
    <w:rsid w:val="009A267E"/>
    <w:rsid w:val="00A45FAB"/>
    <w:rsid w:val="00B864E6"/>
    <w:rsid w:val="00B97D99"/>
    <w:rsid w:val="00C6712E"/>
    <w:rsid w:val="00C80590"/>
    <w:rsid w:val="00CC26A2"/>
    <w:rsid w:val="00CD5DDD"/>
    <w:rsid w:val="00D021F4"/>
    <w:rsid w:val="00D34129"/>
    <w:rsid w:val="00D74D21"/>
    <w:rsid w:val="00DB77F2"/>
    <w:rsid w:val="00DE4312"/>
    <w:rsid w:val="00F94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249964"/>
  <w15:chartTrackingRefBased/>
  <w15:docId w15:val="{0839C0DD-7C48-43B6-9F01-B0B3BFD6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129"/>
  </w:style>
  <w:style w:type="paragraph" w:styleId="Footer">
    <w:name w:val="footer"/>
    <w:basedOn w:val="Normal"/>
    <w:link w:val="FooterChar"/>
    <w:uiPriority w:val="99"/>
    <w:unhideWhenUsed/>
    <w:rsid w:val="00D34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129"/>
  </w:style>
  <w:style w:type="paragraph" w:styleId="BodyText">
    <w:name w:val="Body Text"/>
    <w:basedOn w:val="Normal"/>
    <w:link w:val="BodyTextChar"/>
    <w:qFormat/>
    <w:rsid w:val="00D34129"/>
    <w:pPr>
      <w:spacing w:before="120" w:after="120" w:line="270" w:lineRule="atLeast"/>
    </w:pPr>
    <w:rPr>
      <w:rFonts w:eastAsia="Times New Roman" w:cs="Times New Roman"/>
      <w:spacing w:val="2"/>
      <w:sz w:val="19"/>
      <w:szCs w:val="19"/>
      <w:lang w:eastAsia="en-AU"/>
    </w:rPr>
  </w:style>
  <w:style w:type="character" w:customStyle="1" w:styleId="BodyTextChar">
    <w:name w:val="Body Text Char"/>
    <w:basedOn w:val="DefaultParagraphFont"/>
    <w:link w:val="BodyText"/>
    <w:rsid w:val="00D34129"/>
    <w:rPr>
      <w:rFonts w:eastAsia="Times New Roman" w:cs="Times New Roman"/>
      <w:spacing w:val="2"/>
      <w:sz w:val="19"/>
      <w:szCs w:val="19"/>
      <w:lang w:eastAsia="en-AU"/>
    </w:rPr>
  </w:style>
  <w:style w:type="paragraph" w:styleId="ListParagraph">
    <w:name w:val="List Paragraph"/>
    <w:basedOn w:val="Normal"/>
    <w:uiPriority w:val="34"/>
    <w:qFormat/>
    <w:rsid w:val="00237C09"/>
    <w:pPr>
      <w:ind w:left="720"/>
      <w:contextualSpacing/>
    </w:pPr>
  </w:style>
  <w:style w:type="paragraph" w:styleId="CommentText">
    <w:name w:val="annotation text"/>
    <w:basedOn w:val="Normal"/>
    <w:link w:val="CommentTextChar"/>
    <w:unhideWhenUsed/>
    <w:rsid w:val="00237C09"/>
    <w:pPr>
      <w:spacing w:after="0" w:line="240" w:lineRule="auto"/>
    </w:pPr>
    <w:rPr>
      <w:rFonts w:eastAsia="Times New Roman" w:cs="Times New Roman"/>
      <w:spacing w:val="2"/>
      <w:sz w:val="20"/>
      <w:szCs w:val="20"/>
      <w:lang w:eastAsia="en-AU"/>
    </w:rPr>
  </w:style>
  <w:style w:type="character" w:customStyle="1" w:styleId="CommentTextChar">
    <w:name w:val="Comment Text Char"/>
    <w:basedOn w:val="DefaultParagraphFont"/>
    <w:link w:val="CommentText"/>
    <w:rsid w:val="00237C09"/>
    <w:rPr>
      <w:rFonts w:eastAsia="Times New Roman" w:cs="Times New Roman"/>
      <w:spacing w:val="2"/>
      <w:sz w:val="20"/>
      <w:szCs w:val="20"/>
      <w:lang w:eastAsia="en-AU"/>
    </w:rPr>
  </w:style>
  <w:style w:type="table" w:styleId="TableTheme">
    <w:name w:val="Table Theme"/>
    <w:basedOn w:val="TableNormal"/>
    <w:uiPriority w:val="99"/>
    <w:rsid w:val="00237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E0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332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7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rvey.alchemer.com/s3/6439800/Revenue-and-Rati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OGG.LOCAL\FS\TEAMS2\SHARED\Finance\Corporate\Budget%202021-22\Budget%20Book\Final%20Budget\2021-22%20Adopted%20Budg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o13541\AppData\Local\Microsoft\Windows\INetCache\Content.Outlook\QYT2RTKS\Monthly%20Outstanding%20Report%20Monday%2012%20July%202021.%20%20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dk1"/>
                </a:solidFill>
                <a:latin typeface="+mn-lt"/>
                <a:ea typeface="+mn-ea"/>
                <a:cs typeface="+mn-cs"/>
              </a:defRPr>
            </a:pPr>
            <a:r>
              <a:rPr lang="en-AU" sz="900" b="1" i="0"/>
              <a:t>Total Revenue $'000</a:t>
            </a:r>
          </a:p>
        </c:rich>
      </c:tx>
      <c:layout>
        <c:manualLayout>
          <c:xMode val="edge"/>
          <c:yMode val="edge"/>
          <c:x val="0.4145882800353089"/>
          <c:y val="0"/>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0.30284135009823054"/>
          <c:y val="8.7565266338420933E-2"/>
          <c:w val="0.63920615627220634"/>
          <c:h val="0.82291552093375342"/>
        </c:manualLayout>
      </c:layout>
      <c:barChart>
        <c:barDir val="bar"/>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'Exec summary (2)'!$O$45:$O$53</c:f>
              <c:strCache>
                <c:ptCount val="9"/>
                <c:pt idx="0">
                  <c:v>Rates and charges</c:v>
                </c:pt>
                <c:pt idx="1">
                  <c:v>Contributions - non-monetary</c:v>
                </c:pt>
                <c:pt idx="2">
                  <c:v>Grants - operating</c:v>
                </c:pt>
                <c:pt idx="3">
                  <c:v>User fees</c:v>
                </c:pt>
                <c:pt idx="4">
                  <c:v>Contributions - monetary</c:v>
                </c:pt>
                <c:pt idx="5">
                  <c:v>Grants - capital</c:v>
                </c:pt>
                <c:pt idx="6">
                  <c:v>Statutory fees and fines</c:v>
                </c:pt>
                <c:pt idx="7">
                  <c:v>Net gain/(loss) on disposal of assets</c:v>
                </c:pt>
                <c:pt idx="8">
                  <c:v>Other income</c:v>
                </c:pt>
              </c:strCache>
            </c:strRef>
          </c:cat>
          <c:val>
            <c:numRef>
              <c:f>'Exec summary (2)'!$P$45:$P$53</c:f>
              <c:numCache>
                <c:formatCode>_(* #,##0_);_(* \(#,##0\);_(* "-"??_);_(@_)</c:formatCode>
                <c:ptCount val="9"/>
                <c:pt idx="0">
                  <c:v>268323</c:v>
                </c:pt>
                <c:pt idx="1">
                  <c:v>80000</c:v>
                </c:pt>
                <c:pt idx="2">
                  <c:v>62275</c:v>
                </c:pt>
                <c:pt idx="3">
                  <c:v>57979</c:v>
                </c:pt>
                <c:pt idx="4">
                  <c:v>29412</c:v>
                </c:pt>
                <c:pt idx="5">
                  <c:v>17793</c:v>
                </c:pt>
                <c:pt idx="6">
                  <c:v>15759</c:v>
                </c:pt>
                <c:pt idx="7">
                  <c:v>12382</c:v>
                </c:pt>
                <c:pt idx="8">
                  <c:v>5719</c:v>
                </c:pt>
              </c:numCache>
            </c:numRef>
          </c:val>
          <c:extLst>
            <c:ext xmlns:c16="http://schemas.microsoft.com/office/drawing/2014/chart" uri="{C3380CC4-5D6E-409C-BE32-E72D297353CC}">
              <c16:uniqueId val="{00000000-A222-44AD-AC08-59022F6F9542}"/>
            </c:ext>
          </c:extLst>
        </c:ser>
        <c:dLbls>
          <c:showLegendKey val="0"/>
          <c:showVal val="0"/>
          <c:showCatName val="0"/>
          <c:showSerName val="0"/>
          <c:showPercent val="0"/>
          <c:showBubbleSize val="0"/>
        </c:dLbls>
        <c:gapWidth val="75"/>
        <c:axId val="869551136"/>
        <c:axId val="869542608"/>
      </c:barChart>
      <c:catAx>
        <c:axId val="869551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869542608"/>
        <c:crosses val="autoZero"/>
        <c:auto val="1"/>
        <c:lblAlgn val="ctr"/>
        <c:lblOffset val="100"/>
        <c:noMultiLvlLbl val="0"/>
      </c:catAx>
      <c:valAx>
        <c:axId val="869542608"/>
        <c:scaling>
          <c:orientation val="minMax"/>
        </c:scaling>
        <c:delete val="0"/>
        <c:axPos val="b"/>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crossAx val="869551136"/>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391470396097395"/>
          <c:y val="4.4989775051124746E-2"/>
          <c:w val="0.74123997386924567"/>
          <c:h val="0.86012978439044807"/>
        </c:manualLayout>
      </c:layout>
      <c:barChart>
        <c:barDir val="bar"/>
        <c:grouping val="clustered"/>
        <c:varyColors val="0"/>
        <c:ser>
          <c:idx val="0"/>
          <c:order val="0"/>
          <c:spPr>
            <a:solidFill>
              <a:srgbClr val="002060"/>
            </a:solidFill>
            <a:ln>
              <a:noFill/>
            </a:ln>
            <a:effectLst/>
          </c:spPr>
          <c:invertIfNegative val="0"/>
          <c:cat>
            <c:strRef>
              <c:f>Sheet1!$C$37:$C$44</c:f>
              <c:strCache>
                <c:ptCount val="8"/>
                <c:pt idx="0">
                  <c:v>Residential (58%)</c:v>
                </c:pt>
                <c:pt idx="1">
                  <c:v>Waste Charges (47%)</c:v>
                </c:pt>
                <c:pt idx="2">
                  <c:v>Commerical (13%)</c:v>
                </c:pt>
                <c:pt idx="3">
                  <c:v>Industrial (5%)</c:v>
                </c:pt>
                <c:pt idx="4">
                  <c:v>Vacant land (4%)</c:v>
                </c:pt>
                <c:pt idx="5">
                  <c:v>Farm (1%)</c:v>
                </c:pt>
                <c:pt idx="6">
                  <c:v>Supplementary rates (1%)</c:v>
                </c:pt>
                <c:pt idx="7">
                  <c:v>Other (1%)</c:v>
                </c:pt>
              </c:strCache>
            </c:strRef>
          </c:cat>
          <c:val>
            <c:numRef>
              <c:f>Sheet1!$D$37:$D$44</c:f>
              <c:numCache>
                <c:formatCode>_-* #,##0_-;\-* #,##0_-;_-* "-"??_-;_-@_-</c:formatCode>
                <c:ptCount val="8"/>
                <c:pt idx="0">
                  <c:v>155612</c:v>
                </c:pt>
                <c:pt idx="1">
                  <c:v>46956</c:v>
                </c:pt>
                <c:pt idx="2">
                  <c:v>33720</c:v>
                </c:pt>
                <c:pt idx="3">
                  <c:v>12914</c:v>
                </c:pt>
                <c:pt idx="4">
                  <c:v>10601</c:v>
                </c:pt>
                <c:pt idx="5">
                  <c:v>3005</c:v>
                </c:pt>
                <c:pt idx="6">
                  <c:v>2900</c:v>
                </c:pt>
                <c:pt idx="7">
                  <c:v>2615</c:v>
                </c:pt>
              </c:numCache>
            </c:numRef>
          </c:val>
          <c:extLst>
            <c:ext xmlns:c16="http://schemas.microsoft.com/office/drawing/2014/chart" uri="{C3380CC4-5D6E-409C-BE32-E72D297353CC}">
              <c16:uniqueId val="{00000000-4D80-48BE-9A4B-E4E2602C997A}"/>
            </c:ext>
          </c:extLst>
        </c:ser>
        <c:dLbls>
          <c:showLegendKey val="0"/>
          <c:showVal val="0"/>
          <c:showCatName val="0"/>
          <c:showSerName val="0"/>
          <c:showPercent val="0"/>
          <c:showBubbleSize val="0"/>
        </c:dLbls>
        <c:gapWidth val="75"/>
        <c:overlap val="32"/>
        <c:axId val="1691645256"/>
        <c:axId val="1691645584"/>
      </c:barChart>
      <c:catAx>
        <c:axId val="1691645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691645584"/>
        <c:crosses val="autoZero"/>
        <c:auto val="1"/>
        <c:lblAlgn val="ctr"/>
        <c:lblOffset val="100"/>
        <c:noMultiLvlLbl val="0"/>
      </c:catAx>
      <c:valAx>
        <c:axId val="1691645584"/>
        <c:scaling>
          <c:orientation val="minMax"/>
        </c:scaling>
        <c:delete val="0"/>
        <c:axPos val="b"/>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n-US"/>
          </a:p>
        </c:txPr>
        <c:crossAx val="1691645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8F19C9DB560540ADD2CB2BD20AB93D" ma:contentTypeVersion="13" ma:contentTypeDescription="Create a new document." ma:contentTypeScope="" ma:versionID="694173aef3281fbe30cf29ddb562088f">
  <xsd:schema xmlns:xsd="http://www.w3.org/2001/XMLSchema" xmlns:xs="http://www.w3.org/2001/XMLSchema" xmlns:p="http://schemas.microsoft.com/office/2006/metadata/properties" xmlns:ns3="3a89d84b-4c3b-469a-90bc-cd0d7d50064d" xmlns:ns4="9c32d8b6-9553-4219-8a22-b4e3baf1443a" targetNamespace="http://schemas.microsoft.com/office/2006/metadata/properties" ma:root="true" ma:fieldsID="ef169ea1027b596eaba0842a237faace" ns3:_="" ns4:_="">
    <xsd:import namespace="3a89d84b-4c3b-469a-90bc-cd0d7d50064d"/>
    <xsd:import namespace="9c32d8b6-9553-4219-8a22-b4e3baf144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9d84b-4c3b-469a-90bc-cd0d7d500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2d8b6-9553-4219-8a22-b4e3baf144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2FA2438-32F0-42F4-8E56-603E5917611E}">
  <ds:schemaRefs>
    <ds:schemaRef ds:uri="9c32d8b6-9553-4219-8a22-b4e3baf1443a"/>
    <ds:schemaRef ds:uri="http://purl.org/dc/terms/"/>
    <ds:schemaRef ds:uri="3a89d84b-4c3b-469a-90bc-cd0d7d50064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D206172-9D6A-4D87-B60C-CA001E9DA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9d84b-4c3b-469a-90bc-cd0d7d50064d"/>
    <ds:schemaRef ds:uri="9c32d8b6-9553-4219-8a22-b4e3baf14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29404-817E-4A27-AEB2-2D6D4C54863F}">
  <ds:schemaRefs>
    <ds:schemaRef ds:uri="http://schemas.microsoft.com/sharepoint/v3/contenttype/forms"/>
  </ds:schemaRefs>
</ds:datastoreItem>
</file>

<file path=customXml/itemProps4.xml><?xml version="1.0" encoding="utf-8"?>
<ds:datastoreItem xmlns:ds="http://schemas.openxmlformats.org/officeDocument/2006/customXml" ds:itemID="{8CCD6742-D396-4B79-80CF-F53DA064F21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O'Shea</dc:creator>
  <cp:keywords/>
  <dc:description/>
  <cp:lastModifiedBy>Felicity Bolitho</cp:lastModifiedBy>
  <cp:revision>3</cp:revision>
  <cp:lastPrinted>2021-07-19T02:34:00Z</cp:lastPrinted>
  <dcterms:created xsi:type="dcterms:W3CDTF">2021-07-19T02:33:00Z</dcterms:created>
  <dcterms:modified xsi:type="dcterms:W3CDTF">2021-07-19T03:18:00Z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0x010100248F19C9DB560540ADD2CB2BD20AB93D</vt:lpwstr>
  </property>
</Properties>
</file>