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CF008" w14:textId="192BD0EB" w:rsidR="008152A4" w:rsidRDefault="004B2609">
      <w:pPr>
        <w:autoSpaceDE/>
        <w:autoSpaceDN/>
        <w:rPr>
          <w:b/>
          <w:bCs/>
          <w:caps/>
          <w:color w:val="002060"/>
        </w:rPr>
      </w:pPr>
      <w:r>
        <w:rPr>
          <w:noProof/>
        </w:rPr>
        <w:drawing>
          <wp:anchor distT="0" distB="0" distL="114300" distR="114300" simplePos="0" relativeHeight="251670016" behindDoc="0" locked="0" layoutInCell="1" allowOverlap="1" wp14:anchorId="40FA881C" wp14:editId="72449306">
            <wp:simplePos x="0" y="0"/>
            <wp:positionH relativeFrom="margin">
              <wp:align>center</wp:align>
            </wp:positionH>
            <wp:positionV relativeFrom="paragraph">
              <wp:posOffset>-914684</wp:posOffset>
            </wp:positionV>
            <wp:extent cx="7555625" cy="10685624"/>
            <wp:effectExtent l="0" t="0" r="7620" b="1905"/>
            <wp:wrapNone/>
            <wp:docPr id="1" name="Picture 1"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only - The City of Greater Geelong Social Housing Plan 2020–41_Cover_output (D20-372348).JPG"/>
                    <pic:cNvPicPr/>
                  </pic:nvPicPr>
                  <pic:blipFill>
                    <a:blip r:embed="rId9"/>
                    <a:stretch>
                      <a:fillRect/>
                    </a:stretch>
                  </pic:blipFill>
                  <pic:spPr>
                    <a:xfrm>
                      <a:off x="0" y="0"/>
                      <a:ext cx="7555625" cy="10685624"/>
                    </a:xfrm>
                    <a:prstGeom prst="rect">
                      <a:avLst/>
                    </a:prstGeom>
                  </pic:spPr>
                </pic:pic>
              </a:graphicData>
            </a:graphic>
            <wp14:sizeRelH relativeFrom="page">
              <wp14:pctWidth>0</wp14:pctWidth>
            </wp14:sizeRelH>
            <wp14:sizeRelV relativeFrom="page">
              <wp14:pctHeight>0</wp14:pctHeight>
            </wp14:sizeRelV>
          </wp:anchor>
        </w:drawing>
      </w:r>
      <w:r w:rsidR="008152A4">
        <w:br w:type="page"/>
      </w:r>
    </w:p>
    <w:p w14:paraId="65B8A0EE" w14:textId="12E33B7E" w:rsidR="00B764FC" w:rsidRPr="00194D9A" w:rsidRDefault="00B764FC" w:rsidP="00194D9A">
      <w:pPr>
        <w:pStyle w:val="TOC1"/>
      </w:pPr>
      <w:r w:rsidRPr="00194D9A">
        <w:lastRenderedPageBreak/>
        <w:t>PART A: CITY OF g</w:t>
      </w:r>
      <w:bookmarkStart w:id="0" w:name="_GoBack"/>
      <w:bookmarkEnd w:id="0"/>
      <w:r w:rsidRPr="00194D9A">
        <w:t>REATER GEELONG SOCIAL HOUSING PLAN 20</w:t>
      </w:r>
      <w:r w:rsidR="00323BB3">
        <w:t>20</w:t>
      </w:r>
      <w:r w:rsidRPr="00194D9A">
        <w:t xml:space="preserve"> - 2041</w:t>
      </w:r>
    </w:p>
    <w:p w14:paraId="1A3795F0" w14:textId="5444035E" w:rsidR="00F77331" w:rsidRDefault="00FF5CA4" w:rsidP="00194D9A">
      <w:pPr>
        <w:pStyle w:val="TOC1"/>
        <w:rPr>
          <w:rFonts w:asciiTheme="minorHAnsi" w:hAnsiTheme="minorHAnsi" w:cstheme="minorBidi"/>
          <w:noProof/>
          <w:color w:val="auto"/>
          <w:sz w:val="22"/>
          <w:szCs w:val="22"/>
          <w:lang w:eastAsia="en-AU"/>
        </w:rPr>
      </w:pPr>
      <w:r>
        <w:rPr>
          <w:i/>
          <w:iCs/>
          <w:sz w:val="22"/>
          <w:szCs w:val="22"/>
        </w:rPr>
        <w:fldChar w:fldCharType="begin"/>
      </w:r>
      <w:r w:rsidR="00B764FC">
        <w:rPr>
          <w:i/>
          <w:iCs/>
          <w:sz w:val="22"/>
          <w:szCs w:val="22"/>
        </w:rPr>
        <w:instrText xml:space="preserve"> TOC \o "1-2" \h \z \u </w:instrText>
      </w:r>
      <w:r>
        <w:rPr>
          <w:i/>
          <w:iCs/>
          <w:sz w:val="22"/>
          <w:szCs w:val="22"/>
        </w:rPr>
        <w:fldChar w:fldCharType="separate"/>
      </w:r>
      <w:hyperlink w:anchor="_Toc22120147" w:history="1">
        <w:r w:rsidR="00F77331" w:rsidRPr="00436186">
          <w:rPr>
            <w:rStyle w:val="Hyperlink"/>
            <w:noProof/>
          </w:rPr>
          <w:t>1.</w:t>
        </w:r>
        <w:r w:rsidR="00F77331">
          <w:rPr>
            <w:rFonts w:asciiTheme="minorHAnsi" w:hAnsiTheme="minorHAnsi" w:cstheme="minorBidi"/>
            <w:noProof/>
            <w:color w:val="auto"/>
            <w:sz w:val="22"/>
            <w:szCs w:val="22"/>
            <w:lang w:eastAsia="en-AU"/>
          </w:rPr>
          <w:tab/>
        </w:r>
        <w:r w:rsidR="00F77331" w:rsidRPr="00436186">
          <w:rPr>
            <w:rStyle w:val="Hyperlink"/>
            <w:noProof/>
          </w:rPr>
          <w:t>Executive Summary</w:t>
        </w:r>
        <w:r w:rsidR="00F77331">
          <w:rPr>
            <w:noProof/>
            <w:webHidden/>
          </w:rPr>
          <w:tab/>
        </w:r>
        <w:r w:rsidR="00F77331">
          <w:rPr>
            <w:noProof/>
            <w:webHidden/>
          </w:rPr>
          <w:fldChar w:fldCharType="begin"/>
        </w:r>
        <w:r w:rsidR="00F77331">
          <w:rPr>
            <w:noProof/>
            <w:webHidden/>
          </w:rPr>
          <w:instrText xml:space="preserve"> PAGEREF _Toc22120147 \h </w:instrText>
        </w:r>
        <w:r w:rsidR="00F77331">
          <w:rPr>
            <w:noProof/>
            <w:webHidden/>
          </w:rPr>
        </w:r>
        <w:r w:rsidR="00F77331">
          <w:rPr>
            <w:noProof/>
            <w:webHidden/>
          </w:rPr>
          <w:fldChar w:fldCharType="separate"/>
        </w:r>
        <w:r w:rsidR="00BB479E">
          <w:rPr>
            <w:noProof/>
            <w:webHidden/>
          </w:rPr>
          <w:t>7</w:t>
        </w:r>
        <w:r w:rsidR="00F77331">
          <w:rPr>
            <w:noProof/>
            <w:webHidden/>
          </w:rPr>
          <w:fldChar w:fldCharType="end"/>
        </w:r>
      </w:hyperlink>
    </w:p>
    <w:p w14:paraId="617FE00B" w14:textId="643927CE"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48" w:history="1">
        <w:r w:rsidR="00F77331" w:rsidRPr="00436186">
          <w:rPr>
            <w:rStyle w:val="Hyperlink"/>
            <w:noProof/>
          </w:rPr>
          <w:t xml:space="preserve">1.1 </w:t>
        </w:r>
        <w:r w:rsidR="00B12847">
          <w:rPr>
            <w:rStyle w:val="Hyperlink"/>
            <w:noProof/>
          </w:rPr>
          <w:t xml:space="preserve">   </w:t>
        </w:r>
        <w:r w:rsidR="00F77331" w:rsidRPr="00436186">
          <w:rPr>
            <w:rStyle w:val="Hyperlink"/>
            <w:noProof/>
          </w:rPr>
          <w:t>Vision, Aims, Objectives and Targets</w:t>
        </w:r>
        <w:r w:rsidR="00F77331">
          <w:rPr>
            <w:noProof/>
            <w:webHidden/>
          </w:rPr>
          <w:tab/>
        </w:r>
        <w:r w:rsidR="00F77331">
          <w:rPr>
            <w:noProof/>
            <w:webHidden/>
          </w:rPr>
          <w:fldChar w:fldCharType="begin"/>
        </w:r>
        <w:r w:rsidR="00F77331">
          <w:rPr>
            <w:noProof/>
            <w:webHidden/>
          </w:rPr>
          <w:instrText xml:space="preserve"> PAGEREF _Toc22120148 \h </w:instrText>
        </w:r>
        <w:r w:rsidR="00F77331">
          <w:rPr>
            <w:noProof/>
            <w:webHidden/>
          </w:rPr>
        </w:r>
        <w:r w:rsidR="00F77331">
          <w:rPr>
            <w:noProof/>
            <w:webHidden/>
          </w:rPr>
          <w:fldChar w:fldCharType="separate"/>
        </w:r>
        <w:r w:rsidR="00BB479E">
          <w:rPr>
            <w:noProof/>
            <w:webHidden/>
          </w:rPr>
          <w:t>10</w:t>
        </w:r>
        <w:r w:rsidR="00F77331">
          <w:rPr>
            <w:noProof/>
            <w:webHidden/>
          </w:rPr>
          <w:fldChar w:fldCharType="end"/>
        </w:r>
      </w:hyperlink>
    </w:p>
    <w:p w14:paraId="01C2E742" w14:textId="7392EF0D"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49" w:history="1">
        <w:r w:rsidR="00F77331" w:rsidRPr="00436186">
          <w:rPr>
            <w:rStyle w:val="Hyperlink"/>
            <w:noProof/>
          </w:rPr>
          <w:t xml:space="preserve">1.2 </w:t>
        </w:r>
        <w:r w:rsidR="00B12847">
          <w:rPr>
            <w:rStyle w:val="Hyperlink"/>
            <w:noProof/>
          </w:rPr>
          <w:t xml:space="preserve">   </w:t>
        </w:r>
        <w:r w:rsidR="00F77331" w:rsidRPr="00436186">
          <w:rPr>
            <w:rStyle w:val="Hyperlink"/>
            <w:noProof/>
          </w:rPr>
          <w:t>A Social Housing Plan Based on Partnerships</w:t>
        </w:r>
        <w:r w:rsidR="00F77331">
          <w:rPr>
            <w:noProof/>
            <w:webHidden/>
          </w:rPr>
          <w:tab/>
        </w:r>
        <w:r w:rsidR="00F77331">
          <w:rPr>
            <w:noProof/>
            <w:webHidden/>
          </w:rPr>
          <w:fldChar w:fldCharType="begin"/>
        </w:r>
        <w:r w:rsidR="00F77331">
          <w:rPr>
            <w:noProof/>
            <w:webHidden/>
          </w:rPr>
          <w:instrText xml:space="preserve"> PAGEREF _Toc22120149 \h </w:instrText>
        </w:r>
        <w:r w:rsidR="00F77331">
          <w:rPr>
            <w:noProof/>
            <w:webHidden/>
          </w:rPr>
        </w:r>
        <w:r w:rsidR="00F77331">
          <w:rPr>
            <w:noProof/>
            <w:webHidden/>
          </w:rPr>
          <w:fldChar w:fldCharType="separate"/>
        </w:r>
        <w:r w:rsidR="00BB479E">
          <w:rPr>
            <w:noProof/>
            <w:webHidden/>
          </w:rPr>
          <w:t>11</w:t>
        </w:r>
        <w:r w:rsidR="00F77331">
          <w:rPr>
            <w:noProof/>
            <w:webHidden/>
          </w:rPr>
          <w:fldChar w:fldCharType="end"/>
        </w:r>
      </w:hyperlink>
    </w:p>
    <w:p w14:paraId="2D2E799D" w14:textId="2F278032"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50" w:history="1">
        <w:r w:rsidR="00F77331" w:rsidRPr="00436186">
          <w:rPr>
            <w:rStyle w:val="Hyperlink"/>
            <w:noProof/>
          </w:rPr>
          <w:t>1.3</w:t>
        </w:r>
        <w:r w:rsidR="00B12847">
          <w:rPr>
            <w:rStyle w:val="Hyperlink"/>
            <w:noProof/>
          </w:rPr>
          <w:t xml:space="preserve">   </w:t>
        </w:r>
        <w:r w:rsidR="00F77331" w:rsidRPr="00436186">
          <w:rPr>
            <w:rStyle w:val="Hyperlink"/>
            <w:noProof/>
          </w:rPr>
          <w:t xml:space="preserve"> Strategies</w:t>
        </w:r>
        <w:r w:rsidR="00F77331">
          <w:rPr>
            <w:noProof/>
            <w:webHidden/>
          </w:rPr>
          <w:tab/>
        </w:r>
        <w:r w:rsidR="00F77331">
          <w:rPr>
            <w:noProof/>
            <w:webHidden/>
          </w:rPr>
          <w:fldChar w:fldCharType="begin"/>
        </w:r>
        <w:r w:rsidR="00F77331">
          <w:rPr>
            <w:noProof/>
            <w:webHidden/>
          </w:rPr>
          <w:instrText xml:space="preserve"> PAGEREF _Toc22120150 \h </w:instrText>
        </w:r>
        <w:r w:rsidR="00F77331">
          <w:rPr>
            <w:noProof/>
            <w:webHidden/>
          </w:rPr>
        </w:r>
        <w:r w:rsidR="00F77331">
          <w:rPr>
            <w:noProof/>
            <w:webHidden/>
          </w:rPr>
          <w:fldChar w:fldCharType="separate"/>
        </w:r>
        <w:r w:rsidR="00BB479E">
          <w:rPr>
            <w:noProof/>
            <w:webHidden/>
          </w:rPr>
          <w:t>14</w:t>
        </w:r>
        <w:r w:rsidR="00F77331">
          <w:rPr>
            <w:noProof/>
            <w:webHidden/>
          </w:rPr>
          <w:fldChar w:fldCharType="end"/>
        </w:r>
      </w:hyperlink>
    </w:p>
    <w:p w14:paraId="6AFC3D13" w14:textId="218F4361" w:rsidR="00F77331" w:rsidRDefault="00515EE9">
      <w:pPr>
        <w:pStyle w:val="TOC2"/>
        <w:tabs>
          <w:tab w:val="right" w:leader="dot" w:pos="9204"/>
        </w:tabs>
        <w:rPr>
          <w:rStyle w:val="Hyperlink"/>
          <w:noProof/>
        </w:rPr>
      </w:pPr>
      <w:hyperlink w:anchor="_Toc22120151" w:history="1">
        <w:r w:rsidR="00F77331" w:rsidRPr="00436186">
          <w:rPr>
            <w:rStyle w:val="Hyperlink"/>
            <w:noProof/>
          </w:rPr>
          <w:t xml:space="preserve">1.4 </w:t>
        </w:r>
        <w:r w:rsidR="00B12847">
          <w:rPr>
            <w:rStyle w:val="Hyperlink"/>
            <w:noProof/>
          </w:rPr>
          <w:t xml:space="preserve">   </w:t>
        </w:r>
        <w:r w:rsidR="00F77331" w:rsidRPr="00436186">
          <w:rPr>
            <w:rStyle w:val="Hyperlink"/>
            <w:noProof/>
          </w:rPr>
          <w:t>Implementation Plan</w:t>
        </w:r>
        <w:r w:rsidR="00F77331">
          <w:rPr>
            <w:noProof/>
            <w:webHidden/>
          </w:rPr>
          <w:tab/>
        </w:r>
        <w:r w:rsidR="00F77331">
          <w:rPr>
            <w:noProof/>
            <w:webHidden/>
          </w:rPr>
          <w:fldChar w:fldCharType="begin"/>
        </w:r>
        <w:r w:rsidR="00F77331">
          <w:rPr>
            <w:noProof/>
            <w:webHidden/>
          </w:rPr>
          <w:instrText xml:space="preserve"> PAGEREF _Toc22120151 \h </w:instrText>
        </w:r>
        <w:r w:rsidR="00F77331">
          <w:rPr>
            <w:noProof/>
            <w:webHidden/>
          </w:rPr>
        </w:r>
        <w:r w:rsidR="00F77331">
          <w:rPr>
            <w:noProof/>
            <w:webHidden/>
          </w:rPr>
          <w:fldChar w:fldCharType="separate"/>
        </w:r>
        <w:r w:rsidR="00BB479E">
          <w:rPr>
            <w:noProof/>
            <w:webHidden/>
          </w:rPr>
          <w:t>23</w:t>
        </w:r>
        <w:r w:rsidR="00F77331">
          <w:rPr>
            <w:noProof/>
            <w:webHidden/>
          </w:rPr>
          <w:fldChar w:fldCharType="end"/>
        </w:r>
      </w:hyperlink>
    </w:p>
    <w:p w14:paraId="2440D7ED" w14:textId="77777777" w:rsidR="00F77331" w:rsidRDefault="00F77331" w:rsidP="00194D9A">
      <w:pPr>
        <w:pStyle w:val="TOC1"/>
      </w:pPr>
      <w:r>
        <w:t xml:space="preserve">PART B: Context for a SOCIAL HOUSING PLAN </w:t>
      </w:r>
    </w:p>
    <w:p w14:paraId="69BFE5DB" w14:textId="1D8DDB20" w:rsidR="00F77331" w:rsidRDefault="00515EE9" w:rsidP="00194D9A">
      <w:pPr>
        <w:pStyle w:val="TOC1"/>
        <w:rPr>
          <w:rFonts w:asciiTheme="minorHAnsi" w:hAnsiTheme="minorHAnsi" w:cstheme="minorBidi"/>
          <w:noProof/>
          <w:color w:val="auto"/>
          <w:sz w:val="22"/>
          <w:szCs w:val="22"/>
          <w:lang w:eastAsia="en-AU"/>
        </w:rPr>
      </w:pPr>
      <w:hyperlink w:anchor="_Toc22120152" w:history="1">
        <w:r w:rsidR="00F77331" w:rsidRPr="00436186">
          <w:rPr>
            <w:rStyle w:val="Hyperlink"/>
            <w:noProof/>
          </w:rPr>
          <w:t>2. What is social and affordable housing?</w:t>
        </w:r>
        <w:r w:rsidR="00F77331">
          <w:rPr>
            <w:noProof/>
            <w:webHidden/>
          </w:rPr>
          <w:tab/>
        </w:r>
        <w:r w:rsidR="00F77331">
          <w:rPr>
            <w:noProof/>
            <w:webHidden/>
          </w:rPr>
          <w:fldChar w:fldCharType="begin"/>
        </w:r>
        <w:r w:rsidR="00F77331">
          <w:rPr>
            <w:noProof/>
            <w:webHidden/>
          </w:rPr>
          <w:instrText xml:space="preserve"> PAGEREF _Toc22120152 \h </w:instrText>
        </w:r>
        <w:r w:rsidR="00F77331">
          <w:rPr>
            <w:noProof/>
            <w:webHidden/>
          </w:rPr>
        </w:r>
        <w:r w:rsidR="00F77331">
          <w:rPr>
            <w:noProof/>
            <w:webHidden/>
          </w:rPr>
          <w:fldChar w:fldCharType="separate"/>
        </w:r>
        <w:r w:rsidR="00BB479E">
          <w:rPr>
            <w:noProof/>
            <w:webHidden/>
          </w:rPr>
          <w:t>26</w:t>
        </w:r>
        <w:r w:rsidR="00F77331">
          <w:rPr>
            <w:noProof/>
            <w:webHidden/>
          </w:rPr>
          <w:fldChar w:fldCharType="end"/>
        </w:r>
      </w:hyperlink>
    </w:p>
    <w:p w14:paraId="01E1E864" w14:textId="5DC5E812"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53" w:history="1">
        <w:r w:rsidR="00F77331" w:rsidRPr="00436186">
          <w:rPr>
            <w:rStyle w:val="Hyperlink"/>
            <w:noProof/>
          </w:rPr>
          <w:t>2.1</w:t>
        </w:r>
        <w:r w:rsidR="00F77331">
          <w:rPr>
            <w:rFonts w:asciiTheme="minorHAnsi" w:hAnsiTheme="minorHAnsi" w:cstheme="minorBidi"/>
            <w:smallCaps w:val="0"/>
            <w:noProof/>
            <w:sz w:val="22"/>
            <w:szCs w:val="22"/>
            <w:lang w:eastAsia="en-AU"/>
          </w:rPr>
          <w:tab/>
        </w:r>
        <w:r w:rsidR="00F77331" w:rsidRPr="00436186">
          <w:rPr>
            <w:rStyle w:val="Hyperlink"/>
            <w:noProof/>
          </w:rPr>
          <w:t>How is social and affordable housing defined?</w:t>
        </w:r>
        <w:r w:rsidR="00F77331">
          <w:rPr>
            <w:noProof/>
            <w:webHidden/>
          </w:rPr>
          <w:tab/>
        </w:r>
        <w:r w:rsidR="00F77331">
          <w:rPr>
            <w:noProof/>
            <w:webHidden/>
          </w:rPr>
          <w:fldChar w:fldCharType="begin"/>
        </w:r>
        <w:r w:rsidR="00F77331">
          <w:rPr>
            <w:noProof/>
            <w:webHidden/>
          </w:rPr>
          <w:instrText xml:space="preserve"> PAGEREF _Toc22120153 \h </w:instrText>
        </w:r>
        <w:r w:rsidR="00F77331">
          <w:rPr>
            <w:noProof/>
            <w:webHidden/>
          </w:rPr>
        </w:r>
        <w:r w:rsidR="00F77331">
          <w:rPr>
            <w:noProof/>
            <w:webHidden/>
          </w:rPr>
          <w:fldChar w:fldCharType="separate"/>
        </w:r>
        <w:r w:rsidR="00BB479E">
          <w:rPr>
            <w:noProof/>
            <w:webHidden/>
          </w:rPr>
          <w:t>26</w:t>
        </w:r>
        <w:r w:rsidR="00F77331">
          <w:rPr>
            <w:noProof/>
            <w:webHidden/>
          </w:rPr>
          <w:fldChar w:fldCharType="end"/>
        </w:r>
      </w:hyperlink>
    </w:p>
    <w:p w14:paraId="529CF209" w14:textId="17CC0A05"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54" w:history="1">
        <w:r w:rsidR="00F77331" w:rsidRPr="00436186">
          <w:rPr>
            <w:rStyle w:val="Hyperlink"/>
            <w:noProof/>
          </w:rPr>
          <w:t>2.2</w:t>
        </w:r>
        <w:r w:rsidR="00F77331">
          <w:rPr>
            <w:rFonts w:asciiTheme="minorHAnsi" w:hAnsiTheme="minorHAnsi" w:cstheme="minorBidi"/>
            <w:smallCaps w:val="0"/>
            <w:noProof/>
            <w:sz w:val="22"/>
            <w:szCs w:val="22"/>
            <w:lang w:eastAsia="en-AU"/>
          </w:rPr>
          <w:tab/>
        </w:r>
        <w:r w:rsidR="00F77331" w:rsidRPr="00436186">
          <w:rPr>
            <w:rStyle w:val="Hyperlink"/>
            <w:noProof/>
          </w:rPr>
          <w:t>Why is Social Housing so important?</w:t>
        </w:r>
        <w:r w:rsidR="00F77331">
          <w:rPr>
            <w:noProof/>
            <w:webHidden/>
          </w:rPr>
          <w:tab/>
        </w:r>
        <w:r w:rsidR="00F77331">
          <w:rPr>
            <w:noProof/>
            <w:webHidden/>
          </w:rPr>
          <w:fldChar w:fldCharType="begin"/>
        </w:r>
        <w:r w:rsidR="00F77331">
          <w:rPr>
            <w:noProof/>
            <w:webHidden/>
          </w:rPr>
          <w:instrText xml:space="preserve"> PAGEREF _Toc22120154 \h </w:instrText>
        </w:r>
        <w:r w:rsidR="00F77331">
          <w:rPr>
            <w:noProof/>
            <w:webHidden/>
          </w:rPr>
        </w:r>
        <w:r w:rsidR="00F77331">
          <w:rPr>
            <w:noProof/>
            <w:webHidden/>
          </w:rPr>
          <w:fldChar w:fldCharType="separate"/>
        </w:r>
        <w:r w:rsidR="00BB479E">
          <w:rPr>
            <w:noProof/>
            <w:webHidden/>
          </w:rPr>
          <w:t>28</w:t>
        </w:r>
        <w:r w:rsidR="00F77331">
          <w:rPr>
            <w:noProof/>
            <w:webHidden/>
          </w:rPr>
          <w:fldChar w:fldCharType="end"/>
        </w:r>
      </w:hyperlink>
    </w:p>
    <w:p w14:paraId="69FE1577" w14:textId="36F04C6D"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55" w:history="1">
        <w:r w:rsidR="00F77331" w:rsidRPr="00436186">
          <w:rPr>
            <w:rStyle w:val="Hyperlink"/>
            <w:noProof/>
          </w:rPr>
          <w:t>2.3</w:t>
        </w:r>
        <w:r w:rsidR="00F77331">
          <w:rPr>
            <w:rFonts w:asciiTheme="minorHAnsi" w:hAnsiTheme="minorHAnsi" w:cstheme="minorBidi"/>
            <w:smallCaps w:val="0"/>
            <w:noProof/>
            <w:sz w:val="22"/>
            <w:szCs w:val="22"/>
            <w:lang w:eastAsia="en-AU"/>
          </w:rPr>
          <w:tab/>
        </w:r>
        <w:r w:rsidR="00F77331" w:rsidRPr="00436186">
          <w:rPr>
            <w:rStyle w:val="Hyperlink"/>
            <w:noProof/>
          </w:rPr>
          <w:t>What does Social Housing look like?</w:t>
        </w:r>
        <w:r w:rsidR="00F77331">
          <w:rPr>
            <w:noProof/>
            <w:webHidden/>
          </w:rPr>
          <w:tab/>
        </w:r>
        <w:r w:rsidR="00F77331">
          <w:rPr>
            <w:noProof/>
            <w:webHidden/>
          </w:rPr>
          <w:fldChar w:fldCharType="begin"/>
        </w:r>
        <w:r w:rsidR="00F77331">
          <w:rPr>
            <w:noProof/>
            <w:webHidden/>
          </w:rPr>
          <w:instrText xml:space="preserve"> PAGEREF _Toc22120155 \h </w:instrText>
        </w:r>
        <w:r w:rsidR="00F77331">
          <w:rPr>
            <w:noProof/>
            <w:webHidden/>
          </w:rPr>
        </w:r>
        <w:r w:rsidR="00F77331">
          <w:rPr>
            <w:noProof/>
            <w:webHidden/>
          </w:rPr>
          <w:fldChar w:fldCharType="separate"/>
        </w:r>
        <w:r w:rsidR="00BB479E">
          <w:rPr>
            <w:noProof/>
            <w:webHidden/>
          </w:rPr>
          <w:t>30</w:t>
        </w:r>
        <w:r w:rsidR="00F77331">
          <w:rPr>
            <w:noProof/>
            <w:webHidden/>
          </w:rPr>
          <w:fldChar w:fldCharType="end"/>
        </w:r>
      </w:hyperlink>
    </w:p>
    <w:p w14:paraId="538A7109" w14:textId="08FAB38B"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56" w:history="1">
        <w:r w:rsidR="00F77331" w:rsidRPr="00436186">
          <w:rPr>
            <w:rStyle w:val="Hyperlink"/>
            <w:noProof/>
          </w:rPr>
          <w:t>2.4</w:t>
        </w:r>
        <w:r w:rsidR="00F77331">
          <w:rPr>
            <w:rFonts w:asciiTheme="minorHAnsi" w:hAnsiTheme="minorHAnsi" w:cstheme="minorBidi"/>
            <w:smallCaps w:val="0"/>
            <w:noProof/>
            <w:sz w:val="22"/>
            <w:szCs w:val="22"/>
            <w:lang w:eastAsia="en-AU"/>
          </w:rPr>
          <w:tab/>
        </w:r>
        <w:r w:rsidR="00F77331" w:rsidRPr="00436186">
          <w:rPr>
            <w:rStyle w:val="Hyperlink"/>
            <w:noProof/>
          </w:rPr>
          <w:t>What principles should be used in determining appropriate housing for low income households?</w:t>
        </w:r>
        <w:r w:rsidR="00F77331">
          <w:rPr>
            <w:noProof/>
            <w:webHidden/>
          </w:rPr>
          <w:tab/>
        </w:r>
        <w:r w:rsidR="00F77331">
          <w:rPr>
            <w:noProof/>
            <w:webHidden/>
          </w:rPr>
          <w:fldChar w:fldCharType="begin"/>
        </w:r>
        <w:r w:rsidR="00F77331">
          <w:rPr>
            <w:noProof/>
            <w:webHidden/>
          </w:rPr>
          <w:instrText xml:space="preserve"> PAGEREF _Toc22120156 \h </w:instrText>
        </w:r>
        <w:r w:rsidR="00F77331">
          <w:rPr>
            <w:noProof/>
            <w:webHidden/>
          </w:rPr>
        </w:r>
        <w:r w:rsidR="00F77331">
          <w:rPr>
            <w:noProof/>
            <w:webHidden/>
          </w:rPr>
          <w:fldChar w:fldCharType="separate"/>
        </w:r>
        <w:r w:rsidR="00BB479E">
          <w:rPr>
            <w:noProof/>
            <w:webHidden/>
          </w:rPr>
          <w:t>31</w:t>
        </w:r>
        <w:r w:rsidR="00F77331">
          <w:rPr>
            <w:noProof/>
            <w:webHidden/>
          </w:rPr>
          <w:fldChar w:fldCharType="end"/>
        </w:r>
      </w:hyperlink>
    </w:p>
    <w:p w14:paraId="011F5B50" w14:textId="214ACDEA"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57" w:history="1">
        <w:r w:rsidR="00F77331" w:rsidRPr="00436186">
          <w:rPr>
            <w:rStyle w:val="Hyperlink"/>
            <w:noProof/>
          </w:rPr>
          <w:t>2.5</w:t>
        </w:r>
        <w:r w:rsidR="00F77331">
          <w:rPr>
            <w:rFonts w:asciiTheme="minorHAnsi" w:hAnsiTheme="minorHAnsi" w:cstheme="minorBidi"/>
            <w:smallCaps w:val="0"/>
            <w:noProof/>
            <w:sz w:val="22"/>
            <w:szCs w:val="22"/>
            <w:lang w:eastAsia="en-AU"/>
          </w:rPr>
          <w:tab/>
        </w:r>
        <w:r w:rsidR="00F77331" w:rsidRPr="00436186">
          <w:rPr>
            <w:rStyle w:val="Hyperlink"/>
            <w:noProof/>
          </w:rPr>
          <w:t>What is the development model for social housing?</w:t>
        </w:r>
        <w:r w:rsidR="00F77331">
          <w:rPr>
            <w:noProof/>
            <w:webHidden/>
          </w:rPr>
          <w:tab/>
        </w:r>
        <w:r w:rsidR="00F77331">
          <w:rPr>
            <w:noProof/>
            <w:webHidden/>
          </w:rPr>
          <w:fldChar w:fldCharType="begin"/>
        </w:r>
        <w:r w:rsidR="00F77331">
          <w:rPr>
            <w:noProof/>
            <w:webHidden/>
          </w:rPr>
          <w:instrText xml:space="preserve"> PAGEREF _Toc22120157 \h </w:instrText>
        </w:r>
        <w:r w:rsidR="00F77331">
          <w:rPr>
            <w:noProof/>
            <w:webHidden/>
          </w:rPr>
        </w:r>
        <w:r w:rsidR="00F77331">
          <w:rPr>
            <w:noProof/>
            <w:webHidden/>
          </w:rPr>
          <w:fldChar w:fldCharType="separate"/>
        </w:r>
        <w:r w:rsidR="00BB479E">
          <w:rPr>
            <w:noProof/>
            <w:webHidden/>
          </w:rPr>
          <w:t>32</w:t>
        </w:r>
        <w:r w:rsidR="00F77331">
          <w:rPr>
            <w:noProof/>
            <w:webHidden/>
          </w:rPr>
          <w:fldChar w:fldCharType="end"/>
        </w:r>
      </w:hyperlink>
    </w:p>
    <w:p w14:paraId="2AFEB4E6" w14:textId="65884E7B" w:rsidR="00F77331" w:rsidRDefault="00515EE9" w:rsidP="00194D9A">
      <w:pPr>
        <w:pStyle w:val="TOC1"/>
        <w:rPr>
          <w:rFonts w:asciiTheme="minorHAnsi" w:hAnsiTheme="minorHAnsi" w:cstheme="minorBidi"/>
          <w:noProof/>
          <w:color w:val="auto"/>
          <w:sz w:val="22"/>
          <w:szCs w:val="22"/>
          <w:lang w:eastAsia="en-AU"/>
        </w:rPr>
      </w:pPr>
      <w:hyperlink w:anchor="_Toc22120158" w:history="1">
        <w:r w:rsidR="00F77331" w:rsidRPr="00436186">
          <w:rPr>
            <w:rStyle w:val="Hyperlink"/>
            <w:noProof/>
          </w:rPr>
          <w:t>3.</w:t>
        </w:r>
        <w:r w:rsidR="00F77331">
          <w:rPr>
            <w:rFonts w:asciiTheme="minorHAnsi" w:hAnsiTheme="minorHAnsi" w:cstheme="minorBidi"/>
            <w:noProof/>
            <w:color w:val="auto"/>
            <w:sz w:val="22"/>
            <w:szCs w:val="22"/>
            <w:lang w:eastAsia="en-AU"/>
          </w:rPr>
          <w:tab/>
        </w:r>
        <w:r w:rsidR="00F77331" w:rsidRPr="00436186">
          <w:rPr>
            <w:rStyle w:val="Hyperlink"/>
            <w:noProof/>
          </w:rPr>
          <w:t>Why a Social Housing Plan for Geelong?</w:t>
        </w:r>
        <w:r w:rsidR="00F77331">
          <w:rPr>
            <w:noProof/>
            <w:webHidden/>
          </w:rPr>
          <w:tab/>
        </w:r>
        <w:r w:rsidR="00F77331">
          <w:rPr>
            <w:noProof/>
            <w:webHidden/>
          </w:rPr>
          <w:fldChar w:fldCharType="begin"/>
        </w:r>
        <w:r w:rsidR="00F77331">
          <w:rPr>
            <w:noProof/>
            <w:webHidden/>
          </w:rPr>
          <w:instrText xml:space="preserve"> PAGEREF _Toc22120158 \h </w:instrText>
        </w:r>
        <w:r w:rsidR="00F77331">
          <w:rPr>
            <w:noProof/>
            <w:webHidden/>
          </w:rPr>
        </w:r>
        <w:r w:rsidR="00F77331">
          <w:rPr>
            <w:noProof/>
            <w:webHidden/>
          </w:rPr>
          <w:fldChar w:fldCharType="separate"/>
        </w:r>
        <w:r w:rsidR="00BB479E">
          <w:rPr>
            <w:noProof/>
            <w:webHidden/>
          </w:rPr>
          <w:t>33</w:t>
        </w:r>
        <w:r w:rsidR="00F77331">
          <w:rPr>
            <w:noProof/>
            <w:webHidden/>
          </w:rPr>
          <w:fldChar w:fldCharType="end"/>
        </w:r>
      </w:hyperlink>
    </w:p>
    <w:p w14:paraId="086EB52C" w14:textId="27F9D323"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59" w:history="1">
        <w:r w:rsidR="00F77331" w:rsidRPr="00436186">
          <w:rPr>
            <w:rStyle w:val="Hyperlink"/>
            <w:noProof/>
          </w:rPr>
          <w:t>3.1</w:t>
        </w:r>
        <w:r w:rsidR="00F77331">
          <w:rPr>
            <w:rFonts w:asciiTheme="minorHAnsi" w:hAnsiTheme="minorHAnsi" w:cstheme="minorBidi"/>
            <w:smallCaps w:val="0"/>
            <w:noProof/>
            <w:sz w:val="22"/>
            <w:szCs w:val="22"/>
            <w:lang w:eastAsia="en-AU"/>
          </w:rPr>
          <w:tab/>
        </w:r>
        <w:r w:rsidR="00F77331" w:rsidRPr="00436186">
          <w:rPr>
            <w:rStyle w:val="Hyperlink"/>
            <w:noProof/>
          </w:rPr>
          <w:t>What impact does Local Government have on housing affordability?</w:t>
        </w:r>
        <w:r w:rsidR="00F77331">
          <w:rPr>
            <w:noProof/>
            <w:webHidden/>
          </w:rPr>
          <w:tab/>
        </w:r>
        <w:r w:rsidR="00F77331">
          <w:rPr>
            <w:noProof/>
            <w:webHidden/>
          </w:rPr>
          <w:fldChar w:fldCharType="begin"/>
        </w:r>
        <w:r w:rsidR="00F77331">
          <w:rPr>
            <w:noProof/>
            <w:webHidden/>
          </w:rPr>
          <w:instrText xml:space="preserve"> PAGEREF _Toc22120159 \h </w:instrText>
        </w:r>
        <w:r w:rsidR="00F77331">
          <w:rPr>
            <w:noProof/>
            <w:webHidden/>
          </w:rPr>
        </w:r>
        <w:r w:rsidR="00F77331">
          <w:rPr>
            <w:noProof/>
            <w:webHidden/>
          </w:rPr>
          <w:fldChar w:fldCharType="separate"/>
        </w:r>
        <w:r w:rsidR="00BB479E">
          <w:rPr>
            <w:noProof/>
            <w:webHidden/>
          </w:rPr>
          <w:t>33</w:t>
        </w:r>
        <w:r w:rsidR="00F77331">
          <w:rPr>
            <w:noProof/>
            <w:webHidden/>
          </w:rPr>
          <w:fldChar w:fldCharType="end"/>
        </w:r>
      </w:hyperlink>
    </w:p>
    <w:p w14:paraId="1A292141" w14:textId="5BAF1BC1"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0" w:history="1">
        <w:r w:rsidR="00F77331" w:rsidRPr="00436186">
          <w:rPr>
            <w:rStyle w:val="Hyperlink"/>
            <w:noProof/>
          </w:rPr>
          <w:t>3.2</w:t>
        </w:r>
        <w:r w:rsidR="00F77331">
          <w:rPr>
            <w:rFonts w:asciiTheme="minorHAnsi" w:hAnsiTheme="minorHAnsi" w:cstheme="minorBidi"/>
            <w:smallCaps w:val="0"/>
            <w:noProof/>
            <w:sz w:val="22"/>
            <w:szCs w:val="22"/>
            <w:lang w:eastAsia="en-AU"/>
          </w:rPr>
          <w:tab/>
        </w:r>
        <w:r w:rsidR="00F77331" w:rsidRPr="00436186">
          <w:rPr>
            <w:rStyle w:val="Hyperlink"/>
            <w:noProof/>
          </w:rPr>
          <w:t>Why has housing affordability become an issue for Local Government?</w:t>
        </w:r>
        <w:r w:rsidR="00F77331">
          <w:rPr>
            <w:noProof/>
            <w:webHidden/>
          </w:rPr>
          <w:tab/>
        </w:r>
        <w:r w:rsidR="00F77331">
          <w:rPr>
            <w:noProof/>
            <w:webHidden/>
          </w:rPr>
          <w:fldChar w:fldCharType="begin"/>
        </w:r>
        <w:r w:rsidR="00F77331">
          <w:rPr>
            <w:noProof/>
            <w:webHidden/>
          </w:rPr>
          <w:instrText xml:space="preserve"> PAGEREF _Toc22120160 \h </w:instrText>
        </w:r>
        <w:r w:rsidR="00F77331">
          <w:rPr>
            <w:noProof/>
            <w:webHidden/>
          </w:rPr>
        </w:r>
        <w:r w:rsidR="00F77331">
          <w:rPr>
            <w:noProof/>
            <w:webHidden/>
          </w:rPr>
          <w:fldChar w:fldCharType="separate"/>
        </w:r>
        <w:r w:rsidR="00BB479E">
          <w:rPr>
            <w:noProof/>
            <w:webHidden/>
          </w:rPr>
          <w:t>33</w:t>
        </w:r>
        <w:r w:rsidR="00F77331">
          <w:rPr>
            <w:noProof/>
            <w:webHidden/>
          </w:rPr>
          <w:fldChar w:fldCharType="end"/>
        </w:r>
      </w:hyperlink>
    </w:p>
    <w:p w14:paraId="36ED88A7" w14:textId="193D15D1"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1" w:history="1">
        <w:r w:rsidR="00F77331" w:rsidRPr="00436186">
          <w:rPr>
            <w:rStyle w:val="Hyperlink"/>
            <w:noProof/>
          </w:rPr>
          <w:t>3.3</w:t>
        </w:r>
        <w:r w:rsidR="00F77331">
          <w:rPr>
            <w:rFonts w:asciiTheme="minorHAnsi" w:hAnsiTheme="minorHAnsi" w:cstheme="minorBidi"/>
            <w:smallCaps w:val="0"/>
            <w:noProof/>
            <w:sz w:val="22"/>
            <w:szCs w:val="22"/>
            <w:lang w:eastAsia="en-AU"/>
          </w:rPr>
          <w:tab/>
        </w:r>
        <w:r w:rsidR="00F77331" w:rsidRPr="00436186">
          <w:rPr>
            <w:rStyle w:val="Hyperlink"/>
            <w:noProof/>
          </w:rPr>
          <w:t>What is Council’s commitment to Social and Affordable Housing?</w:t>
        </w:r>
        <w:r w:rsidR="00F77331">
          <w:rPr>
            <w:noProof/>
            <w:webHidden/>
          </w:rPr>
          <w:tab/>
        </w:r>
        <w:r w:rsidR="00F77331">
          <w:rPr>
            <w:noProof/>
            <w:webHidden/>
          </w:rPr>
          <w:fldChar w:fldCharType="begin"/>
        </w:r>
        <w:r w:rsidR="00F77331">
          <w:rPr>
            <w:noProof/>
            <w:webHidden/>
          </w:rPr>
          <w:instrText xml:space="preserve"> PAGEREF _Toc22120161 \h </w:instrText>
        </w:r>
        <w:r w:rsidR="00F77331">
          <w:rPr>
            <w:noProof/>
            <w:webHidden/>
          </w:rPr>
        </w:r>
        <w:r w:rsidR="00F77331">
          <w:rPr>
            <w:noProof/>
            <w:webHidden/>
          </w:rPr>
          <w:fldChar w:fldCharType="separate"/>
        </w:r>
        <w:r w:rsidR="00BB479E">
          <w:rPr>
            <w:noProof/>
            <w:webHidden/>
          </w:rPr>
          <w:t>33</w:t>
        </w:r>
        <w:r w:rsidR="00F77331">
          <w:rPr>
            <w:noProof/>
            <w:webHidden/>
          </w:rPr>
          <w:fldChar w:fldCharType="end"/>
        </w:r>
      </w:hyperlink>
    </w:p>
    <w:p w14:paraId="51A03C2E" w14:textId="1B5C4068"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2" w:history="1">
        <w:r w:rsidR="00F77331" w:rsidRPr="00436186">
          <w:rPr>
            <w:rStyle w:val="Hyperlink"/>
            <w:noProof/>
          </w:rPr>
          <w:t>3.4</w:t>
        </w:r>
        <w:r w:rsidR="00F77331">
          <w:rPr>
            <w:rFonts w:asciiTheme="minorHAnsi" w:hAnsiTheme="minorHAnsi" w:cstheme="minorBidi"/>
            <w:smallCaps w:val="0"/>
            <w:noProof/>
            <w:sz w:val="22"/>
            <w:szCs w:val="22"/>
            <w:lang w:eastAsia="en-AU"/>
          </w:rPr>
          <w:tab/>
        </w:r>
        <w:r w:rsidR="00F77331" w:rsidRPr="00436186">
          <w:rPr>
            <w:rStyle w:val="Hyperlink"/>
            <w:noProof/>
          </w:rPr>
          <w:t>What is the purpose of the Social Housing Plan?</w:t>
        </w:r>
        <w:r w:rsidR="00F77331">
          <w:rPr>
            <w:noProof/>
            <w:webHidden/>
          </w:rPr>
          <w:tab/>
        </w:r>
        <w:r w:rsidR="00F77331">
          <w:rPr>
            <w:noProof/>
            <w:webHidden/>
          </w:rPr>
          <w:fldChar w:fldCharType="begin"/>
        </w:r>
        <w:r w:rsidR="00F77331">
          <w:rPr>
            <w:noProof/>
            <w:webHidden/>
          </w:rPr>
          <w:instrText xml:space="preserve"> PAGEREF _Toc22120162 \h </w:instrText>
        </w:r>
        <w:r w:rsidR="00F77331">
          <w:rPr>
            <w:noProof/>
            <w:webHidden/>
          </w:rPr>
        </w:r>
        <w:r w:rsidR="00F77331">
          <w:rPr>
            <w:noProof/>
            <w:webHidden/>
          </w:rPr>
          <w:fldChar w:fldCharType="separate"/>
        </w:r>
        <w:r w:rsidR="00BB479E">
          <w:rPr>
            <w:noProof/>
            <w:webHidden/>
          </w:rPr>
          <w:t>34</w:t>
        </w:r>
        <w:r w:rsidR="00F77331">
          <w:rPr>
            <w:noProof/>
            <w:webHidden/>
          </w:rPr>
          <w:fldChar w:fldCharType="end"/>
        </w:r>
      </w:hyperlink>
    </w:p>
    <w:p w14:paraId="0B319A37" w14:textId="7F150CCF"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3" w:history="1">
        <w:r w:rsidR="00F77331" w:rsidRPr="00436186">
          <w:rPr>
            <w:rStyle w:val="Hyperlink"/>
            <w:noProof/>
          </w:rPr>
          <w:t>3.5</w:t>
        </w:r>
        <w:r w:rsidR="00F77331">
          <w:rPr>
            <w:rFonts w:asciiTheme="minorHAnsi" w:hAnsiTheme="minorHAnsi" w:cstheme="minorBidi"/>
            <w:smallCaps w:val="0"/>
            <w:noProof/>
            <w:sz w:val="22"/>
            <w:szCs w:val="22"/>
            <w:lang w:eastAsia="en-AU"/>
          </w:rPr>
          <w:tab/>
        </w:r>
        <w:r w:rsidR="00F77331" w:rsidRPr="00436186">
          <w:rPr>
            <w:rStyle w:val="Hyperlink"/>
            <w:noProof/>
          </w:rPr>
          <w:t>What is special about Geelong?</w:t>
        </w:r>
        <w:r w:rsidR="00F77331">
          <w:rPr>
            <w:noProof/>
            <w:webHidden/>
          </w:rPr>
          <w:tab/>
        </w:r>
        <w:r w:rsidR="00F77331">
          <w:rPr>
            <w:noProof/>
            <w:webHidden/>
          </w:rPr>
          <w:fldChar w:fldCharType="begin"/>
        </w:r>
        <w:r w:rsidR="00F77331">
          <w:rPr>
            <w:noProof/>
            <w:webHidden/>
          </w:rPr>
          <w:instrText xml:space="preserve"> PAGEREF _Toc22120163 \h </w:instrText>
        </w:r>
        <w:r w:rsidR="00F77331">
          <w:rPr>
            <w:noProof/>
            <w:webHidden/>
          </w:rPr>
        </w:r>
        <w:r w:rsidR="00F77331">
          <w:rPr>
            <w:noProof/>
            <w:webHidden/>
          </w:rPr>
          <w:fldChar w:fldCharType="separate"/>
        </w:r>
        <w:r w:rsidR="00BB479E">
          <w:rPr>
            <w:noProof/>
            <w:webHidden/>
          </w:rPr>
          <w:t>35</w:t>
        </w:r>
        <w:r w:rsidR="00F77331">
          <w:rPr>
            <w:noProof/>
            <w:webHidden/>
          </w:rPr>
          <w:fldChar w:fldCharType="end"/>
        </w:r>
      </w:hyperlink>
    </w:p>
    <w:p w14:paraId="08F5D9DE" w14:textId="4551FF96" w:rsidR="00F77331" w:rsidRDefault="00515EE9" w:rsidP="00194D9A">
      <w:pPr>
        <w:pStyle w:val="TOC1"/>
        <w:rPr>
          <w:rFonts w:asciiTheme="minorHAnsi" w:hAnsiTheme="minorHAnsi" w:cstheme="minorBidi"/>
          <w:noProof/>
          <w:color w:val="auto"/>
          <w:sz w:val="22"/>
          <w:szCs w:val="22"/>
          <w:lang w:eastAsia="en-AU"/>
        </w:rPr>
      </w:pPr>
      <w:hyperlink w:anchor="_Toc22120164" w:history="1">
        <w:r w:rsidR="00F77331" w:rsidRPr="00436186">
          <w:rPr>
            <w:rStyle w:val="Hyperlink"/>
            <w:noProof/>
          </w:rPr>
          <w:t>4.</w:t>
        </w:r>
        <w:r w:rsidR="00F77331">
          <w:rPr>
            <w:rFonts w:asciiTheme="minorHAnsi" w:hAnsiTheme="minorHAnsi" w:cstheme="minorBidi"/>
            <w:noProof/>
            <w:color w:val="auto"/>
            <w:sz w:val="22"/>
            <w:szCs w:val="22"/>
            <w:lang w:eastAsia="en-AU"/>
          </w:rPr>
          <w:tab/>
        </w:r>
        <w:r w:rsidR="00F77331" w:rsidRPr="00436186">
          <w:rPr>
            <w:rStyle w:val="Hyperlink"/>
            <w:noProof/>
          </w:rPr>
          <w:t>How did we develop the City of Greater Geelong Social Housing Plan?</w:t>
        </w:r>
        <w:r w:rsidR="00F77331">
          <w:rPr>
            <w:noProof/>
            <w:webHidden/>
          </w:rPr>
          <w:tab/>
        </w:r>
        <w:r w:rsidR="00F77331">
          <w:rPr>
            <w:noProof/>
            <w:webHidden/>
          </w:rPr>
          <w:fldChar w:fldCharType="begin"/>
        </w:r>
        <w:r w:rsidR="00F77331">
          <w:rPr>
            <w:noProof/>
            <w:webHidden/>
          </w:rPr>
          <w:instrText xml:space="preserve"> PAGEREF _Toc22120164 \h </w:instrText>
        </w:r>
        <w:r w:rsidR="00F77331">
          <w:rPr>
            <w:noProof/>
            <w:webHidden/>
          </w:rPr>
        </w:r>
        <w:r w:rsidR="00F77331">
          <w:rPr>
            <w:noProof/>
            <w:webHidden/>
          </w:rPr>
          <w:fldChar w:fldCharType="separate"/>
        </w:r>
        <w:r w:rsidR="00BB479E">
          <w:rPr>
            <w:noProof/>
            <w:webHidden/>
          </w:rPr>
          <w:t>36</w:t>
        </w:r>
        <w:r w:rsidR="00F77331">
          <w:rPr>
            <w:noProof/>
            <w:webHidden/>
          </w:rPr>
          <w:fldChar w:fldCharType="end"/>
        </w:r>
      </w:hyperlink>
    </w:p>
    <w:p w14:paraId="5AB3E1BA" w14:textId="6BF47618" w:rsidR="00F77331" w:rsidRDefault="00515EE9" w:rsidP="00194D9A">
      <w:pPr>
        <w:pStyle w:val="TOC1"/>
        <w:rPr>
          <w:rFonts w:asciiTheme="minorHAnsi" w:hAnsiTheme="minorHAnsi" w:cstheme="minorBidi"/>
          <w:noProof/>
          <w:color w:val="auto"/>
          <w:sz w:val="22"/>
          <w:szCs w:val="22"/>
          <w:lang w:eastAsia="en-AU"/>
        </w:rPr>
      </w:pPr>
      <w:hyperlink w:anchor="_Toc22120165" w:history="1">
        <w:r w:rsidR="00F77331" w:rsidRPr="00436186">
          <w:rPr>
            <w:rStyle w:val="Hyperlink"/>
            <w:noProof/>
          </w:rPr>
          <w:t>5.</w:t>
        </w:r>
        <w:r w:rsidR="00F77331">
          <w:rPr>
            <w:rFonts w:asciiTheme="minorHAnsi" w:hAnsiTheme="minorHAnsi" w:cstheme="minorBidi"/>
            <w:noProof/>
            <w:color w:val="auto"/>
            <w:sz w:val="22"/>
            <w:szCs w:val="22"/>
            <w:lang w:eastAsia="en-AU"/>
          </w:rPr>
          <w:tab/>
        </w:r>
        <w:r w:rsidR="00F77331" w:rsidRPr="00436186">
          <w:rPr>
            <w:rStyle w:val="Hyperlink"/>
            <w:noProof/>
          </w:rPr>
          <w:t>What did the Community tell us?</w:t>
        </w:r>
        <w:r w:rsidR="00F77331">
          <w:rPr>
            <w:noProof/>
            <w:webHidden/>
          </w:rPr>
          <w:tab/>
        </w:r>
        <w:r w:rsidR="00F77331">
          <w:rPr>
            <w:noProof/>
            <w:webHidden/>
          </w:rPr>
          <w:fldChar w:fldCharType="begin"/>
        </w:r>
        <w:r w:rsidR="00F77331">
          <w:rPr>
            <w:noProof/>
            <w:webHidden/>
          </w:rPr>
          <w:instrText xml:space="preserve"> PAGEREF _Toc22120165 \h </w:instrText>
        </w:r>
        <w:r w:rsidR="00F77331">
          <w:rPr>
            <w:noProof/>
            <w:webHidden/>
          </w:rPr>
        </w:r>
        <w:r w:rsidR="00F77331">
          <w:rPr>
            <w:noProof/>
            <w:webHidden/>
          </w:rPr>
          <w:fldChar w:fldCharType="separate"/>
        </w:r>
        <w:r w:rsidR="00BB479E">
          <w:rPr>
            <w:noProof/>
            <w:webHidden/>
          </w:rPr>
          <w:t>37</w:t>
        </w:r>
        <w:r w:rsidR="00F77331">
          <w:rPr>
            <w:noProof/>
            <w:webHidden/>
          </w:rPr>
          <w:fldChar w:fldCharType="end"/>
        </w:r>
      </w:hyperlink>
    </w:p>
    <w:p w14:paraId="41E792BC" w14:textId="2B71F48A" w:rsidR="00F77331" w:rsidRDefault="00515EE9" w:rsidP="00194D9A">
      <w:pPr>
        <w:pStyle w:val="TOC1"/>
        <w:rPr>
          <w:rFonts w:asciiTheme="minorHAnsi" w:hAnsiTheme="minorHAnsi" w:cstheme="minorBidi"/>
          <w:noProof/>
          <w:color w:val="auto"/>
          <w:sz w:val="22"/>
          <w:szCs w:val="22"/>
          <w:lang w:eastAsia="en-AU"/>
        </w:rPr>
      </w:pPr>
      <w:hyperlink w:anchor="_Toc22120166" w:history="1">
        <w:r w:rsidR="00F77331" w:rsidRPr="00436186">
          <w:rPr>
            <w:rStyle w:val="Hyperlink"/>
            <w:noProof/>
          </w:rPr>
          <w:t>6.</w:t>
        </w:r>
        <w:r w:rsidR="00F77331">
          <w:rPr>
            <w:rFonts w:asciiTheme="minorHAnsi" w:hAnsiTheme="minorHAnsi" w:cstheme="minorBidi"/>
            <w:noProof/>
            <w:color w:val="auto"/>
            <w:sz w:val="22"/>
            <w:szCs w:val="22"/>
            <w:lang w:eastAsia="en-AU"/>
          </w:rPr>
          <w:tab/>
        </w:r>
        <w:r w:rsidR="00F77331" w:rsidRPr="00436186">
          <w:rPr>
            <w:rStyle w:val="Hyperlink"/>
            <w:noProof/>
          </w:rPr>
          <w:t>What is the need for Social Housing in Geelong?</w:t>
        </w:r>
        <w:r w:rsidR="00F77331">
          <w:rPr>
            <w:noProof/>
            <w:webHidden/>
          </w:rPr>
          <w:tab/>
        </w:r>
        <w:r w:rsidR="00F77331">
          <w:rPr>
            <w:noProof/>
            <w:webHidden/>
          </w:rPr>
          <w:fldChar w:fldCharType="begin"/>
        </w:r>
        <w:r w:rsidR="00F77331">
          <w:rPr>
            <w:noProof/>
            <w:webHidden/>
          </w:rPr>
          <w:instrText xml:space="preserve"> PAGEREF _Toc22120166 \h </w:instrText>
        </w:r>
        <w:r w:rsidR="00F77331">
          <w:rPr>
            <w:noProof/>
            <w:webHidden/>
          </w:rPr>
        </w:r>
        <w:r w:rsidR="00F77331">
          <w:rPr>
            <w:noProof/>
            <w:webHidden/>
          </w:rPr>
          <w:fldChar w:fldCharType="separate"/>
        </w:r>
        <w:r w:rsidR="00BB479E">
          <w:rPr>
            <w:noProof/>
            <w:webHidden/>
          </w:rPr>
          <w:t>42</w:t>
        </w:r>
        <w:r w:rsidR="00F77331">
          <w:rPr>
            <w:noProof/>
            <w:webHidden/>
          </w:rPr>
          <w:fldChar w:fldCharType="end"/>
        </w:r>
      </w:hyperlink>
    </w:p>
    <w:p w14:paraId="6BF4FAEE" w14:textId="37CABADE"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7" w:history="1">
        <w:r w:rsidR="00F77331" w:rsidRPr="00436186">
          <w:rPr>
            <w:rStyle w:val="Hyperlink"/>
            <w:noProof/>
          </w:rPr>
          <w:t>6.1</w:t>
        </w:r>
        <w:r w:rsidR="00F77331">
          <w:rPr>
            <w:rFonts w:asciiTheme="minorHAnsi" w:hAnsiTheme="minorHAnsi" w:cstheme="minorBidi"/>
            <w:smallCaps w:val="0"/>
            <w:noProof/>
            <w:sz w:val="22"/>
            <w:szCs w:val="22"/>
            <w:lang w:eastAsia="en-AU"/>
          </w:rPr>
          <w:tab/>
        </w:r>
        <w:r w:rsidR="00F77331" w:rsidRPr="00436186">
          <w:rPr>
            <w:rStyle w:val="Hyperlink"/>
            <w:noProof/>
          </w:rPr>
          <w:t>What are the housing conditions in Geelong?</w:t>
        </w:r>
        <w:r w:rsidR="00F77331">
          <w:rPr>
            <w:noProof/>
            <w:webHidden/>
          </w:rPr>
          <w:tab/>
        </w:r>
        <w:r w:rsidR="00F77331">
          <w:rPr>
            <w:noProof/>
            <w:webHidden/>
          </w:rPr>
          <w:fldChar w:fldCharType="begin"/>
        </w:r>
        <w:r w:rsidR="00F77331">
          <w:rPr>
            <w:noProof/>
            <w:webHidden/>
          </w:rPr>
          <w:instrText xml:space="preserve"> PAGEREF _Toc22120167 \h </w:instrText>
        </w:r>
        <w:r w:rsidR="00F77331">
          <w:rPr>
            <w:noProof/>
            <w:webHidden/>
          </w:rPr>
        </w:r>
        <w:r w:rsidR="00F77331">
          <w:rPr>
            <w:noProof/>
            <w:webHidden/>
          </w:rPr>
          <w:fldChar w:fldCharType="separate"/>
        </w:r>
        <w:r w:rsidR="00BB479E">
          <w:rPr>
            <w:noProof/>
            <w:webHidden/>
          </w:rPr>
          <w:t>42</w:t>
        </w:r>
        <w:r w:rsidR="00F77331">
          <w:rPr>
            <w:noProof/>
            <w:webHidden/>
          </w:rPr>
          <w:fldChar w:fldCharType="end"/>
        </w:r>
      </w:hyperlink>
    </w:p>
    <w:p w14:paraId="304B64FD" w14:textId="0F2C471E"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8" w:history="1">
        <w:r w:rsidR="00F77331" w:rsidRPr="00436186">
          <w:rPr>
            <w:rStyle w:val="Hyperlink"/>
            <w:noProof/>
          </w:rPr>
          <w:t>6.2</w:t>
        </w:r>
        <w:r w:rsidR="00F77331">
          <w:rPr>
            <w:rFonts w:asciiTheme="minorHAnsi" w:hAnsiTheme="minorHAnsi" w:cstheme="minorBidi"/>
            <w:smallCaps w:val="0"/>
            <w:noProof/>
            <w:sz w:val="22"/>
            <w:szCs w:val="22"/>
            <w:lang w:eastAsia="en-AU"/>
          </w:rPr>
          <w:tab/>
        </w:r>
        <w:r w:rsidR="00F77331" w:rsidRPr="00436186">
          <w:rPr>
            <w:rStyle w:val="Hyperlink"/>
            <w:noProof/>
          </w:rPr>
          <w:t>How prevalent is housing stress in Geelong?</w:t>
        </w:r>
        <w:r w:rsidR="00F77331">
          <w:rPr>
            <w:noProof/>
            <w:webHidden/>
          </w:rPr>
          <w:tab/>
        </w:r>
        <w:r w:rsidR="00F77331">
          <w:rPr>
            <w:noProof/>
            <w:webHidden/>
          </w:rPr>
          <w:fldChar w:fldCharType="begin"/>
        </w:r>
        <w:r w:rsidR="00F77331">
          <w:rPr>
            <w:noProof/>
            <w:webHidden/>
          </w:rPr>
          <w:instrText xml:space="preserve"> PAGEREF _Toc22120168 \h </w:instrText>
        </w:r>
        <w:r w:rsidR="00F77331">
          <w:rPr>
            <w:noProof/>
            <w:webHidden/>
          </w:rPr>
        </w:r>
        <w:r w:rsidR="00F77331">
          <w:rPr>
            <w:noProof/>
            <w:webHidden/>
          </w:rPr>
          <w:fldChar w:fldCharType="separate"/>
        </w:r>
        <w:r w:rsidR="00BB479E">
          <w:rPr>
            <w:noProof/>
            <w:webHidden/>
          </w:rPr>
          <w:t>47</w:t>
        </w:r>
        <w:r w:rsidR="00F77331">
          <w:rPr>
            <w:noProof/>
            <w:webHidden/>
          </w:rPr>
          <w:fldChar w:fldCharType="end"/>
        </w:r>
      </w:hyperlink>
    </w:p>
    <w:p w14:paraId="576E005F" w14:textId="10656404"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69" w:history="1">
        <w:r w:rsidR="00F77331" w:rsidRPr="00436186">
          <w:rPr>
            <w:rStyle w:val="Hyperlink"/>
            <w:noProof/>
          </w:rPr>
          <w:t>6.3</w:t>
        </w:r>
        <w:r w:rsidR="00F77331">
          <w:rPr>
            <w:rFonts w:asciiTheme="minorHAnsi" w:hAnsiTheme="minorHAnsi" w:cstheme="minorBidi"/>
            <w:smallCaps w:val="0"/>
            <w:noProof/>
            <w:sz w:val="22"/>
            <w:szCs w:val="22"/>
            <w:lang w:eastAsia="en-AU"/>
          </w:rPr>
          <w:tab/>
        </w:r>
        <w:r w:rsidR="00F77331" w:rsidRPr="00436186">
          <w:rPr>
            <w:rStyle w:val="Hyperlink"/>
            <w:noProof/>
          </w:rPr>
          <w:t>What are related indicators of demand for social housing?</w:t>
        </w:r>
        <w:r w:rsidR="00F77331">
          <w:rPr>
            <w:noProof/>
            <w:webHidden/>
          </w:rPr>
          <w:tab/>
        </w:r>
        <w:r w:rsidR="00F77331">
          <w:rPr>
            <w:noProof/>
            <w:webHidden/>
          </w:rPr>
          <w:fldChar w:fldCharType="begin"/>
        </w:r>
        <w:r w:rsidR="00F77331">
          <w:rPr>
            <w:noProof/>
            <w:webHidden/>
          </w:rPr>
          <w:instrText xml:space="preserve"> PAGEREF _Toc22120169 \h </w:instrText>
        </w:r>
        <w:r w:rsidR="00F77331">
          <w:rPr>
            <w:noProof/>
            <w:webHidden/>
          </w:rPr>
        </w:r>
        <w:r w:rsidR="00F77331">
          <w:rPr>
            <w:noProof/>
            <w:webHidden/>
          </w:rPr>
          <w:fldChar w:fldCharType="separate"/>
        </w:r>
        <w:r w:rsidR="00BB479E">
          <w:rPr>
            <w:noProof/>
            <w:webHidden/>
          </w:rPr>
          <w:t>51</w:t>
        </w:r>
        <w:r w:rsidR="00F77331">
          <w:rPr>
            <w:noProof/>
            <w:webHidden/>
          </w:rPr>
          <w:fldChar w:fldCharType="end"/>
        </w:r>
      </w:hyperlink>
    </w:p>
    <w:p w14:paraId="32111AC6" w14:textId="40CD8456"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0" w:history="1">
        <w:r w:rsidR="00F77331" w:rsidRPr="00436186">
          <w:rPr>
            <w:rStyle w:val="Hyperlink"/>
            <w:noProof/>
          </w:rPr>
          <w:t>6.4</w:t>
        </w:r>
        <w:r w:rsidR="00F77331">
          <w:rPr>
            <w:rFonts w:asciiTheme="minorHAnsi" w:hAnsiTheme="minorHAnsi" w:cstheme="minorBidi"/>
            <w:smallCaps w:val="0"/>
            <w:noProof/>
            <w:sz w:val="22"/>
            <w:szCs w:val="22"/>
            <w:lang w:eastAsia="en-AU"/>
          </w:rPr>
          <w:tab/>
        </w:r>
        <w:r w:rsidR="00F77331" w:rsidRPr="00436186">
          <w:rPr>
            <w:rStyle w:val="Hyperlink"/>
            <w:noProof/>
          </w:rPr>
          <w:t>How many households live in social housing in Geelong?</w:t>
        </w:r>
        <w:r w:rsidR="00F77331">
          <w:rPr>
            <w:noProof/>
            <w:webHidden/>
          </w:rPr>
          <w:tab/>
        </w:r>
        <w:r w:rsidR="00F77331">
          <w:rPr>
            <w:noProof/>
            <w:webHidden/>
          </w:rPr>
          <w:fldChar w:fldCharType="begin"/>
        </w:r>
        <w:r w:rsidR="00F77331">
          <w:rPr>
            <w:noProof/>
            <w:webHidden/>
          </w:rPr>
          <w:instrText xml:space="preserve"> PAGEREF _Toc22120170 \h </w:instrText>
        </w:r>
        <w:r w:rsidR="00F77331">
          <w:rPr>
            <w:noProof/>
            <w:webHidden/>
          </w:rPr>
        </w:r>
        <w:r w:rsidR="00F77331">
          <w:rPr>
            <w:noProof/>
            <w:webHidden/>
          </w:rPr>
          <w:fldChar w:fldCharType="separate"/>
        </w:r>
        <w:r w:rsidR="00BB479E">
          <w:rPr>
            <w:noProof/>
            <w:webHidden/>
          </w:rPr>
          <w:t>51</w:t>
        </w:r>
        <w:r w:rsidR="00F77331">
          <w:rPr>
            <w:noProof/>
            <w:webHidden/>
          </w:rPr>
          <w:fldChar w:fldCharType="end"/>
        </w:r>
      </w:hyperlink>
    </w:p>
    <w:p w14:paraId="553CE4BC" w14:textId="5E8FF58E"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1" w:history="1">
        <w:r w:rsidR="00F77331" w:rsidRPr="00436186">
          <w:rPr>
            <w:rStyle w:val="Hyperlink"/>
            <w:noProof/>
          </w:rPr>
          <w:t>6.5</w:t>
        </w:r>
        <w:r w:rsidR="00F77331">
          <w:rPr>
            <w:rFonts w:asciiTheme="minorHAnsi" w:hAnsiTheme="minorHAnsi" w:cstheme="minorBidi"/>
            <w:smallCaps w:val="0"/>
            <w:noProof/>
            <w:sz w:val="22"/>
            <w:szCs w:val="22"/>
            <w:lang w:eastAsia="en-AU"/>
          </w:rPr>
          <w:tab/>
        </w:r>
        <w:r w:rsidR="00F77331" w:rsidRPr="00436186">
          <w:rPr>
            <w:rStyle w:val="Hyperlink"/>
            <w:noProof/>
          </w:rPr>
          <w:t>What is the estimated total demand for social housing in Geelong?</w:t>
        </w:r>
        <w:r w:rsidR="00F77331">
          <w:rPr>
            <w:noProof/>
            <w:webHidden/>
          </w:rPr>
          <w:tab/>
        </w:r>
        <w:r w:rsidR="00F77331">
          <w:rPr>
            <w:noProof/>
            <w:webHidden/>
          </w:rPr>
          <w:fldChar w:fldCharType="begin"/>
        </w:r>
        <w:r w:rsidR="00F77331">
          <w:rPr>
            <w:noProof/>
            <w:webHidden/>
          </w:rPr>
          <w:instrText xml:space="preserve"> PAGEREF _Toc22120171 \h </w:instrText>
        </w:r>
        <w:r w:rsidR="00F77331">
          <w:rPr>
            <w:noProof/>
            <w:webHidden/>
          </w:rPr>
        </w:r>
        <w:r w:rsidR="00F77331">
          <w:rPr>
            <w:noProof/>
            <w:webHidden/>
          </w:rPr>
          <w:fldChar w:fldCharType="separate"/>
        </w:r>
        <w:r w:rsidR="00BB479E">
          <w:rPr>
            <w:noProof/>
            <w:webHidden/>
          </w:rPr>
          <w:t>54</w:t>
        </w:r>
        <w:r w:rsidR="00F77331">
          <w:rPr>
            <w:noProof/>
            <w:webHidden/>
          </w:rPr>
          <w:fldChar w:fldCharType="end"/>
        </w:r>
      </w:hyperlink>
    </w:p>
    <w:p w14:paraId="1C1FF317" w14:textId="5D95D020"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2" w:history="1">
        <w:r w:rsidR="00F77331" w:rsidRPr="00436186">
          <w:rPr>
            <w:rStyle w:val="Hyperlink"/>
            <w:noProof/>
          </w:rPr>
          <w:t>6.6</w:t>
        </w:r>
        <w:r w:rsidR="00F77331">
          <w:rPr>
            <w:rFonts w:asciiTheme="minorHAnsi" w:hAnsiTheme="minorHAnsi" w:cstheme="minorBidi"/>
            <w:smallCaps w:val="0"/>
            <w:noProof/>
            <w:sz w:val="22"/>
            <w:szCs w:val="22"/>
            <w:lang w:eastAsia="en-AU"/>
          </w:rPr>
          <w:tab/>
        </w:r>
        <w:r w:rsidR="00F77331" w:rsidRPr="00436186">
          <w:rPr>
            <w:rStyle w:val="Hyperlink"/>
            <w:noProof/>
          </w:rPr>
          <w:t>Which population groups need social housing?</w:t>
        </w:r>
        <w:r w:rsidR="00F77331">
          <w:rPr>
            <w:noProof/>
            <w:webHidden/>
          </w:rPr>
          <w:tab/>
        </w:r>
        <w:r w:rsidR="00F77331">
          <w:rPr>
            <w:noProof/>
            <w:webHidden/>
          </w:rPr>
          <w:fldChar w:fldCharType="begin"/>
        </w:r>
        <w:r w:rsidR="00F77331">
          <w:rPr>
            <w:noProof/>
            <w:webHidden/>
          </w:rPr>
          <w:instrText xml:space="preserve"> PAGEREF _Toc22120172 \h </w:instrText>
        </w:r>
        <w:r w:rsidR="00F77331">
          <w:rPr>
            <w:noProof/>
            <w:webHidden/>
          </w:rPr>
        </w:r>
        <w:r w:rsidR="00F77331">
          <w:rPr>
            <w:noProof/>
            <w:webHidden/>
          </w:rPr>
          <w:fldChar w:fldCharType="separate"/>
        </w:r>
        <w:r w:rsidR="00BB479E">
          <w:rPr>
            <w:noProof/>
            <w:webHidden/>
          </w:rPr>
          <w:t>55</w:t>
        </w:r>
        <w:r w:rsidR="00F77331">
          <w:rPr>
            <w:noProof/>
            <w:webHidden/>
          </w:rPr>
          <w:fldChar w:fldCharType="end"/>
        </w:r>
      </w:hyperlink>
    </w:p>
    <w:p w14:paraId="10BD7753" w14:textId="552D1CC8"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3" w:history="1">
        <w:r w:rsidR="00F77331" w:rsidRPr="00436186">
          <w:rPr>
            <w:rStyle w:val="Hyperlink"/>
            <w:noProof/>
          </w:rPr>
          <w:t>6.7</w:t>
        </w:r>
        <w:r w:rsidR="00F77331">
          <w:rPr>
            <w:rFonts w:asciiTheme="minorHAnsi" w:hAnsiTheme="minorHAnsi" w:cstheme="minorBidi"/>
            <w:smallCaps w:val="0"/>
            <w:noProof/>
            <w:sz w:val="22"/>
            <w:szCs w:val="22"/>
            <w:lang w:eastAsia="en-AU"/>
          </w:rPr>
          <w:tab/>
        </w:r>
        <w:r w:rsidR="00F77331" w:rsidRPr="00436186">
          <w:rPr>
            <w:rStyle w:val="Hyperlink"/>
            <w:noProof/>
          </w:rPr>
          <w:t>Where is social housing needed?</w:t>
        </w:r>
        <w:r w:rsidR="00F77331">
          <w:rPr>
            <w:noProof/>
            <w:webHidden/>
          </w:rPr>
          <w:tab/>
        </w:r>
        <w:r w:rsidR="00F77331">
          <w:rPr>
            <w:noProof/>
            <w:webHidden/>
          </w:rPr>
          <w:fldChar w:fldCharType="begin"/>
        </w:r>
        <w:r w:rsidR="00F77331">
          <w:rPr>
            <w:noProof/>
            <w:webHidden/>
          </w:rPr>
          <w:instrText xml:space="preserve"> PAGEREF _Toc22120173 \h </w:instrText>
        </w:r>
        <w:r w:rsidR="00F77331">
          <w:rPr>
            <w:noProof/>
            <w:webHidden/>
          </w:rPr>
        </w:r>
        <w:r w:rsidR="00F77331">
          <w:rPr>
            <w:noProof/>
            <w:webHidden/>
          </w:rPr>
          <w:fldChar w:fldCharType="separate"/>
        </w:r>
        <w:r w:rsidR="00BB479E">
          <w:rPr>
            <w:noProof/>
            <w:webHidden/>
          </w:rPr>
          <w:t>56</w:t>
        </w:r>
        <w:r w:rsidR="00F77331">
          <w:rPr>
            <w:noProof/>
            <w:webHidden/>
          </w:rPr>
          <w:fldChar w:fldCharType="end"/>
        </w:r>
      </w:hyperlink>
    </w:p>
    <w:p w14:paraId="4F9766F2" w14:textId="6581305C"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4" w:history="1">
        <w:r w:rsidR="00F77331" w:rsidRPr="00436186">
          <w:rPr>
            <w:rStyle w:val="Hyperlink"/>
            <w:noProof/>
          </w:rPr>
          <w:t>6.8</w:t>
        </w:r>
        <w:r w:rsidR="00F77331">
          <w:rPr>
            <w:rFonts w:asciiTheme="minorHAnsi" w:hAnsiTheme="minorHAnsi" w:cstheme="minorBidi"/>
            <w:smallCaps w:val="0"/>
            <w:noProof/>
            <w:sz w:val="22"/>
            <w:szCs w:val="22"/>
            <w:lang w:eastAsia="en-AU"/>
          </w:rPr>
          <w:tab/>
        </w:r>
        <w:r w:rsidR="00F77331" w:rsidRPr="00436186">
          <w:rPr>
            <w:rStyle w:val="Hyperlink"/>
            <w:noProof/>
          </w:rPr>
          <w:t>What is the projected demand for social housing in the future?</w:t>
        </w:r>
        <w:r w:rsidR="00F77331">
          <w:rPr>
            <w:noProof/>
            <w:webHidden/>
          </w:rPr>
          <w:tab/>
        </w:r>
        <w:r w:rsidR="00F77331">
          <w:rPr>
            <w:noProof/>
            <w:webHidden/>
          </w:rPr>
          <w:fldChar w:fldCharType="begin"/>
        </w:r>
        <w:r w:rsidR="00F77331">
          <w:rPr>
            <w:noProof/>
            <w:webHidden/>
          </w:rPr>
          <w:instrText xml:space="preserve"> PAGEREF _Toc22120174 \h </w:instrText>
        </w:r>
        <w:r w:rsidR="00F77331">
          <w:rPr>
            <w:noProof/>
            <w:webHidden/>
          </w:rPr>
        </w:r>
        <w:r w:rsidR="00F77331">
          <w:rPr>
            <w:noProof/>
            <w:webHidden/>
          </w:rPr>
          <w:fldChar w:fldCharType="separate"/>
        </w:r>
        <w:r w:rsidR="00BB479E">
          <w:rPr>
            <w:noProof/>
            <w:webHidden/>
          </w:rPr>
          <w:t>57</w:t>
        </w:r>
        <w:r w:rsidR="00F77331">
          <w:rPr>
            <w:noProof/>
            <w:webHidden/>
          </w:rPr>
          <w:fldChar w:fldCharType="end"/>
        </w:r>
      </w:hyperlink>
    </w:p>
    <w:p w14:paraId="7E5529CD" w14:textId="4F135220" w:rsidR="00F77331" w:rsidRDefault="00515EE9" w:rsidP="00194D9A">
      <w:pPr>
        <w:pStyle w:val="TOC1"/>
        <w:rPr>
          <w:rFonts w:asciiTheme="minorHAnsi" w:hAnsiTheme="minorHAnsi" w:cstheme="minorBidi"/>
          <w:noProof/>
          <w:color w:val="auto"/>
          <w:sz w:val="22"/>
          <w:szCs w:val="22"/>
          <w:lang w:eastAsia="en-AU"/>
        </w:rPr>
      </w:pPr>
      <w:hyperlink w:anchor="_Toc22120175" w:history="1">
        <w:r w:rsidR="00F77331" w:rsidRPr="00436186">
          <w:rPr>
            <w:rStyle w:val="Hyperlink"/>
            <w:noProof/>
          </w:rPr>
          <w:t>7.</w:t>
        </w:r>
        <w:r w:rsidR="00F77331">
          <w:rPr>
            <w:rFonts w:asciiTheme="minorHAnsi" w:hAnsiTheme="minorHAnsi" w:cstheme="minorBidi"/>
            <w:noProof/>
            <w:color w:val="auto"/>
            <w:sz w:val="22"/>
            <w:szCs w:val="22"/>
            <w:lang w:eastAsia="en-AU"/>
          </w:rPr>
          <w:tab/>
        </w:r>
        <w:r w:rsidR="00F77331" w:rsidRPr="00436186">
          <w:rPr>
            <w:rStyle w:val="Hyperlink"/>
            <w:noProof/>
          </w:rPr>
          <w:t>Supply of Social Housing in Geelong</w:t>
        </w:r>
        <w:r w:rsidR="00F77331">
          <w:rPr>
            <w:noProof/>
            <w:webHidden/>
          </w:rPr>
          <w:tab/>
        </w:r>
        <w:r w:rsidR="00F77331">
          <w:rPr>
            <w:noProof/>
            <w:webHidden/>
          </w:rPr>
          <w:fldChar w:fldCharType="begin"/>
        </w:r>
        <w:r w:rsidR="00F77331">
          <w:rPr>
            <w:noProof/>
            <w:webHidden/>
          </w:rPr>
          <w:instrText xml:space="preserve"> PAGEREF _Toc22120175 \h </w:instrText>
        </w:r>
        <w:r w:rsidR="00F77331">
          <w:rPr>
            <w:noProof/>
            <w:webHidden/>
          </w:rPr>
        </w:r>
        <w:r w:rsidR="00F77331">
          <w:rPr>
            <w:noProof/>
            <w:webHidden/>
          </w:rPr>
          <w:fldChar w:fldCharType="separate"/>
        </w:r>
        <w:r w:rsidR="00BB479E">
          <w:rPr>
            <w:noProof/>
            <w:webHidden/>
          </w:rPr>
          <w:t>59</w:t>
        </w:r>
        <w:r w:rsidR="00F77331">
          <w:rPr>
            <w:noProof/>
            <w:webHidden/>
          </w:rPr>
          <w:fldChar w:fldCharType="end"/>
        </w:r>
      </w:hyperlink>
    </w:p>
    <w:p w14:paraId="2431A026" w14:textId="18EE608F"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6" w:history="1">
        <w:r w:rsidR="00F77331" w:rsidRPr="00436186">
          <w:rPr>
            <w:rStyle w:val="Hyperlink"/>
            <w:noProof/>
          </w:rPr>
          <w:t>7.1</w:t>
        </w:r>
        <w:r w:rsidR="00F77331">
          <w:rPr>
            <w:rFonts w:asciiTheme="minorHAnsi" w:hAnsiTheme="minorHAnsi" w:cstheme="minorBidi"/>
            <w:smallCaps w:val="0"/>
            <w:noProof/>
            <w:sz w:val="22"/>
            <w:szCs w:val="22"/>
            <w:lang w:eastAsia="en-AU"/>
          </w:rPr>
          <w:tab/>
        </w:r>
        <w:r w:rsidR="00F77331" w:rsidRPr="00436186">
          <w:rPr>
            <w:rStyle w:val="Hyperlink"/>
            <w:noProof/>
          </w:rPr>
          <w:t>How much public housing is in Geelong?</w:t>
        </w:r>
        <w:r w:rsidR="00F77331">
          <w:rPr>
            <w:noProof/>
            <w:webHidden/>
          </w:rPr>
          <w:tab/>
        </w:r>
        <w:r w:rsidR="00F77331">
          <w:rPr>
            <w:noProof/>
            <w:webHidden/>
          </w:rPr>
          <w:fldChar w:fldCharType="begin"/>
        </w:r>
        <w:r w:rsidR="00F77331">
          <w:rPr>
            <w:noProof/>
            <w:webHidden/>
          </w:rPr>
          <w:instrText xml:space="preserve"> PAGEREF _Toc22120176 \h </w:instrText>
        </w:r>
        <w:r w:rsidR="00F77331">
          <w:rPr>
            <w:noProof/>
            <w:webHidden/>
          </w:rPr>
        </w:r>
        <w:r w:rsidR="00F77331">
          <w:rPr>
            <w:noProof/>
            <w:webHidden/>
          </w:rPr>
          <w:fldChar w:fldCharType="separate"/>
        </w:r>
        <w:r w:rsidR="00BB479E">
          <w:rPr>
            <w:noProof/>
            <w:webHidden/>
          </w:rPr>
          <w:t>59</w:t>
        </w:r>
        <w:r w:rsidR="00F77331">
          <w:rPr>
            <w:noProof/>
            <w:webHidden/>
          </w:rPr>
          <w:fldChar w:fldCharType="end"/>
        </w:r>
      </w:hyperlink>
    </w:p>
    <w:p w14:paraId="1ED9A341" w14:textId="3710C8AB"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7" w:history="1">
        <w:r w:rsidR="00F77331" w:rsidRPr="00436186">
          <w:rPr>
            <w:rStyle w:val="Hyperlink"/>
            <w:noProof/>
          </w:rPr>
          <w:t>7.2</w:t>
        </w:r>
        <w:r w:rsidR="00F77331">
          <w:rPr>
            <w:rFonts w:asciiTheme="minorHAnsi" w:hAnsiTheme="minorHAnsi" w:cstheme="minorBidi"/>
            <w:smallCaps w:val="0"/>
            <w:noProof/>
            <w:sz w:val="22"/>
            <w:szCs w:val="22"/>
            <w:lang w:eastAsia="en-AU"/>
          </w:rPr>
          <w:tab/>
        </w:r>
        <w:r w:rsidR="00F77331" w:rsidRPr="00436186">
          <w:rPr>
            <w:rStyle w:val="Hyperlink"/>
            <w:noProof/>
          </w:rPr>
          <w:t>What type of housing stock is social housing?</w:t>
        </w:r>
        <w:r w:rsidR="00F77331">
          <w:rPr>
            <w:noProof/>
            <w:webHidden/>
          </w:rPr>
          <w:tab/>
        </w:r>
        <w:r w:rsidR="00F77331">
          <w:rPr>
            <w:noProof/>
            <w:webHidden/>
          </w:rPr>
          <w:fldChar w:fldCharType="begin"/>
        </w:r>
        <w:r w:rsidR="00F77331">
          <w:rPr>
            <w:noProof/>
            <w:webHidden/>
          </w:rPr>
          <w:instrText xml:space="preserve"> PAGEREF _Toc22120177 \h </w:instrText>
        </w:r>
        <w:r w:rsidR="00F77331">
          <w:rPr>
            <w:noProof/>
            <w:webHidden/>
          </w:rPr>
        </w:r>
        <w:r w:rsidR="00F77331">
          <w:rPr>
            <w:noProof/>
            <w:webHidden/>
          </w:rPr>
          <w:fldChar w:fldCharType="separate"/>
        </w:r>
        <w:r w:rsidR="00BB479E">
          <w:rPr>
            <w:noProof/>
            <w:webHidden/>
          </w:rPr>
          <w:t>59</w:t>
        </w:r>
        <w:r w:rsidR="00F77331">
          <w:rPr>
            <w:noProof/>
            <w:webHidden/>
          </w:rPr>
          <w:fldChar w:fldCharType="end"/>
        </w:r>
      </w:hyperlink>
    </w:p>
    <w:p w14:paraId="1E58B91A" w14:textId="03E5C3D7"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8" w:history="1">
        <w:r w:rsidR="00F77331" w:rsidRPr="00436186">
          <w:rPr>
            <w:rStyle w:val="Hyperlink"/>
            <w:noProof/>
          </w:rPr>
          <w:t>7.3</w:t>
        </w:r>
        <w:r w:rsidR="00F77331">
          <w:rPr>
            <w:rFonts w:asciiTheme="minorHAnsi" w:hAnsiTheme="minorHAnsi" w:cstheme="minorBidi"/>
            <w:smallCaps w:val="0"/>
            <w:noProof/>
            <w:sz w:val="22"/>
            <w:szCs w:val="22"/>
            <w:lang w:eastAsia="en-AU"/>
          </w:rPr>
          <w:tab/>
        </w:r>
        <w:r w:rsidR="00F77331" w:rsidRPr="00436186">
          <w:rPr>
            <w:rStyle w:val="Hyperlink"/>
            <w:noProof/>
          </w:rPr>
          <w:t>Where is social housing located?</w:t>
        </w:r>
        <w:r w:rsidR="00F77331">
          <w:rPr>
            <w:noProof/>
            <w:webHidden/>
          </w:rPr>
          <w:tab/>
        </w:r>
        <w:r w:rsidR="00F77331">
          <w:rPr>
            <w:noProof/>
            <w:webHidden/>
          </w:rPr>
          <w:fldChar w:fldCharType="begin"/>
        </w:r>
        <w:r w:rsidR="00F77331">
          <w:rPr>
            <w:noProof/>
            <w:webHidden/>
          </w:rPr>
          <w:instrText xml:space="preserve"> PAGEREF _Toc22120178 \h </w:instrText>
        </w:r>
        <w:r w:rsidR="00F77331">
          <w:rPr>
            <w:noProof/>
            <w:webHidden/>
          </w:rPr>
        </w:r>
        <w:r w:rsidR="00F77331">
          <w:rPr>
            <w:noProof/>
            <w:webHidden/>
          </w:rPr>
          <w:fldChar w:fldCharType="separate"/>
        </w:r>
        <w:r w:rsidR="00BB479E">
          <w:rPr>
            <w:noProof/>
            <w:webHidden/>
          </w:rPr>
          <w:t>60</w:t>
        </w:r>
        <w:r w:rsidR="00F77331">
          <w:rPr>
            <w:noProof/>
            <w:webHidden/>
          </w:rPr>
          <w:fldChar w:fldCharType="end"/>
        </w:r>
      </w:hyperlink>
    </w:p>
    <w:p w14:paraId="4CC1CEAB" w14:textId="51497018"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79" w:history="1">
        <w:r w:rsidR="00F77331" w:rsidRPr="00436186">
          <w:rPr>
            <w:rStyle w:val="Hyperlink"/>
            <w:noProof/>
          </w:rPr>
          <w:t>7.4</w:t>
        </w:r>
        <w:r w:rsidR="00F77331">
          <w:rPr>
            <w:rFonts w:asciiTheme="minorHAnsi" w:hAnsiTheme="minorHAnsi" w:cstheme="minorBidi"/>
            <w:smallCaps w:val="0"/>
            <w:noProof/>
            <w:sz w:val="22"/>
            <w:szCs w:val="22"/>
            <w:lang w:eastAsia="en-AU"/>
          </w:rPr>
          <w:tab/>
        </w:r>
        <w:r w:rsidR="00F77331" w:rsidRPr="00436186">
          <w:rPr>
            <w:rStyle w:val="Hyperlink"/>
            <w:noProof/>
          </w:rPr>
          <w:t>Who manages the social housing in Geelong?</w:t>
        </w:r>
        <w:r w:rsidR="00F77331">
          <w:rPr>
            <w:noProof/>
            <w:webHidden/>
          </w:rPr>
          <w:tab/>
        </w:r>
        <w:r w:rsidR="00F77331">
          <w:rPr>
            <w:noProof/>
            <w:webHidden/>
          </w:rPr>
          <w:fldChar w:fldCharType="begin"/>
        </w:r>
        <w:r w:rsidR="00F77331">
          <w:rPr>
            <w:noProof/>
            <w:webHidden/>
          </w:rPr>
          <w:instrText xml:space="preserve"> PAGEREF _Toc22120179 \h </w:instrText>
        </w:r>
        <w:r w:rsidR="00F77331">
          <w:rPr>
            <w:noProof/>
            <w:webHidden/>
          </w:rPr>
        </w:r>
        <w:r w:rsidR="00F77331">
          <w:rPr>
            <w:noProof/>
            <w:webHidden/>
          </w:rPr>
          <w:fldChar w:fldCharType="separate"/>
        </w:r>
        <w:r w:rsidR="00BB479E">
          <w:rPr>
            <w:noProof/>
            <w:webHidden/>
          </w:rPr>
          <w:t>61</w:t>
        </w:r>
        <w:r w:rsidR="00F77331">
          <w:rPr>
            <w:noProof/>
            <w:webHidden/>
          </w:rPr>
          <w:fldChar w:fldCharType="end"/>
        </w:r>
      </w:hyperlink>
    </w:p>
    <w:p w14:paraId="4222671D" w14:textId="7E62F6F5" w:rsidR="00F77331" w:rsidRDefault="00515EE9" w:rsidP="00194D9A">
      <w:pPr>
        <w:pStyle w:val="TOC1"/>
        <w:rPr>
          <w:rFonts w:asciiTheme="minorHAnsi" w:hAnsiTheme="minorHAnsi" w:cstheme="minorBidi"/>
          <w:noProof/>
          <w:color w:val="auto"/>
          <w:sz w:val="22"/>
          <w:szCs w:val="22"/>
          <w:lang w:eastAsia="en-AU"/>
        </w:rPr>
      </w:pPr>
      <w:hyperlink w:anchor="_Toc22120180" w:history="1">
        <w:r w:rsidR="00F77331" w:rsidRPr="00436186">
          <w:rPr>
            <w:rStyle w:val="Hyperlink"/>
            <w:noProof/>
          </w:rPr>
          <w:t>8.</w:t>
        </w:r>
        <w:r w:rsidR="00F77331">
          <w:rPr>
            <w:rFonts w:asciiTheme="minorHAnsi" w:hAnsiTheme="minorHAnsi" w:cstheme="minorBidi"/>
            <w:noProof/>
            <w:color w:val="auto"/>
            <w:sz w:val="22"/>
            <w:szCs w:val="22"/>
            <w:lang w:eastAsia="en-AU"/>
          </w:rPr>
          <w:tab/>
        </w:r>
        <w:r w:rsidR="00F77331" w:rsidRPr="00436186">
          <w:rPr>
            <w:rStyle w:val="Hyperlink"/>
            <w:noProof/>
          </w:rPr>
          <w:t>Who are the organisations delivering social housing in Geelong?</w:t>
        </w:r>
        <w:r w:rsidR="00F77331">
          <w:rPr>
            <w:noProof/>
            <w:webHidden/>
          </w:rPr>
          <w:tab/>
        </w:r>
        <w:r w:rsidR="00F77331">
          <w:rPr>
            <w:noProof/>
            <w:webHidden/>
          </w:rPr>
          <w:fldChar w:fldCharType="begin"/>
        </w:r>
        <w:r w:rsidR="00F77331">
          <w:rPr>
            <w:noProof/>
            <w:webHidden/>
          </w:rPr>
          <w:instrText xml:space="preserve"> PAGEREF _Toc22120180 \h </w:instrText>
        </w:r>
        <w:r w:rsidR="00F77331">
          <w:rPr>
            <w:noProof/>
            <w:webHidden/>
          </w:rPr>
        </w:r>
        <w:r w:rsidR="00F77331">
          <w:rPr>
            <w:noProof/>
            <w:webHidden/>
          </w:rPr>
          <w:fldChar w:fldCharType="separate"/>
        </w:r>
        <w:r w:rsidR="00BB479E">
          <w:rPr>
            <w:noProof/>
            <w:webHidden/>
          </w:rPr>
          <w:t>63</w:t>
        </w:r>
        <w:r w:rsidR="00F77331">
          <w:rPr>
            <w:noProof/>
            <w:webHidden/>
          </w:rPr>
          <w:fldChar w:fldCharType="end"/>
        </w:r>
      </w:hyperlink>
    </w:p>
    <w:p w14:paraId="3CDA9A14" w14:textId="33C496CF"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81" w:history="1">
        <w:r w:rsidR="00F77331" w:rsidRPr="00436186">
          <w:rPr>
            <w:rStyle w:val="Hyperlink"/>
            <w:noProof/>
          </w:rPr>
          <w:t>8.1</w:t>
        </w:r>
        <w:r w:rsidR="00F77331">
          <w:rPr>
            <w:rFonts w:asciiTheme="minorHAnsi" w:hAnsiTheme="minorHAnsi" w:cstheme="minorBidi"/>
            <w:smallCaps w:val="0"/>
            <w:noProof/>
            <w:sz w:val="22"/>
            <w:szCs w:val="22"/>
            <w:lang w:eastAsia="en-AU"/>
          </w:rPr>
          <w:tab/>
        </w:r>
        <w:r w:rsidR="00F77331" w:rsidRPr="00436186">
          <w:rPr>
            <w:rStyle w:val="Hyperlink"/>
            <w:noProof/>
          </w:rPr>
          <w:t>What are the opportunities for the State Government to work with Council?</w:t>
        </w:r>
        <w:r w:rsidR="00F77331">
          <w:rPr>
            <w:noProof/>
            <w:webHidden/>
          </w:rPr>
          <w:tab/>
        </w:r>
        <w:r w:rsidR="00F77331">
          <w:rPr>
            <w:noProof/>
            <w:webHidden/>
          </w:rPr>
          <w:fldChar w:fldCharType="begin"/>
        </w:r>
        <w:r w:rsidR="00F77331">
          <w:rPr>
            <w:noProof/>
            <w:webHidden/>
          </w:rPr>
          <w:instrText xml:space="preserve"> PAGEREF _Toc22120181 \h </w:instrText>
        </w:r>
        <w:r w:rsidR="00F77331">
          <w:rPr>
            <w:noProof/>
            <w:webHidden/>
          </w:rPr>
        </w:r>
        <w:r w:rsidR="00F77331">
          <w:rPr>
            <w:noProof/>
            <w:webHidden/>
          </w:rPr>
          <w:fldChar w:fldCharType="separate"/>
        </w:r>
        <w:r w:rsidR="00BB479E">
          <w:rPr>
            <w:noProof/>
            <w:webHidden/>
          </w:rPr>
          <w:t>63</w:t>
        </w:r>
        <w:r w:rsidR="00F77331">
          <w:rPr>
            <w:noProof/>
            <w:webHidden/>
          </w:rPr>
          <w:fldChar w:fldCharType="end"/>
        </w:r>
      </w:hyperlink>
    </w:p>
    <w:p w14:paraId="2955C33D" w14:textId="30696C36"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82" w:history="1">
        <w:r w:rsidR="00F77331" w:rsidRPr="00436186">
          <w:rPr>
            <w:rStyle w:val="Hyperlink"/>
            <w:noProof/>
          </w:rPr>
          <w:t>8.2</w:t>
        </w:r>
        <w:r w:rsidR="00F77331">
          <w:rPr>
            <w:rFonts w:asciiTheme="minorHAnsi" w:hAnsiTheme="minorHAnsi" w:cstheme="minorBidi"/>
            <w:smallCaps w:val="0"/>
            <w:noProof/>
            <w:sz w:val="22"/>
            <w:szCs w:val="22"/>
            <w:lang w:eastAsia="en-AU"/>
          </w:rPr>
          <w:tab/>
        </w:r>
        <w:r w:rsidR="00F77331" w:rsidRPr="00436186">
          <w:rPr>
            <w:rStyle w:val="Hyperlink"/>
            <w:noProof/>
          </w:rPr>
          <w:t>What are the opportunities for Council to work with Registered Housing Agencies?</w:t>
        </w:r>
        <w:r w:rsidR="00F77331">
          <w:rPr>
            <w:noProof/>
            <w:webHidden/>
          </w:rPr>
          <w:tab/>
        </w:r>
        <w:r w:rsidR="00F77331">
          <w:rPr>
            <w:noProof/>
            <w:webHidden/>
          </w:rPr>
          <w:fldChar w:fldCharType="begin"/>
        </w:r>
        <w:r w:rsidR="00F77331">
          <w:rPr>
            <w:noProof/>
            <w:webHidden/>
          </w:rPr>
          <w:instrText xml:space="preserve"> PAGEREF _Toc22120182 \h </w:instrText>
        </w:r>
        <w:r w:rsidR="00F77331">
          <w:rPr>
            <w:noProof/>
            <w:webHidden/>
          </w:rPr>
        </w:r>
        <w:r w:rsidR="00F77331">
          <w:rPr>
            <w:noProof/>
            <w:webHidden/>
          </w:rPr>
          <w:fldChar w:fldCharType="separate"/>
        </w:r>
        <w:r w:rsidR="00BB479E">
          <w:rPr>
            <w:noProof/>
            <w:webHidden/>
          </w:rPr>
          <w:t>65</w:t>
        </w:r>
        <w:r w:rsidR="00F77331">
          <w:rPr>
            <w:noProof/>
            <w:webHidden/>
          </w:rPr>
          <w:fldChar w:fldCharType="end"/>
        </w:r>
      </w:hyperlink>
    </w:p>
    <w:p w14:paraId="5A2FCA0F" w14:textId="74DD02E5"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83" w:history="1">
        <w:r w:rsidR="00F77331" w:rsidRPr="00436186">
          <w:rPr>
            <w:rStyle w:val="Hyperlink"/>
            <w:noProof/>
          </w:rPr>
          <w:t>8.3</w:t>
        </w:r>
        <w:r w:rsidR="00F77331">
          <w:rPr>
            <w:rFonts w:asciiTheme="minorHAnsi" w:hAnsiTheme="minorHAnsi" w:cstheme="minorBidi"/>
            <w:smallCaps w:val="0"/>
            <w:noProof/>
            <w:sz w:val="22"/>
            <w:szCs w:val="22"/>
            <w:lang w:eastAsia="en-AU"/>
          </w:rPr>
          <w:tab/>
        </w:r>
        <w:r w:rsidR="00F77331" w:rsidRPr="00436186">
          <w:rPr>
            <w:rStyle w:val="Hyperlink"/>
            <w:noProof/>
          </w:rPr>
          <w:t>What are the opportunities for Council to work with private developers?</w:t>
        </w:r>
        <w:r w:rsidR="00F77331">
          <w:rPr>
            <w:noProof/>
            <w:webHidden/>
          </w:rPr>
          <w:tab/>
        </w:r>
        <w:r w:rsidR="00F77331">
          <w:rPr>
            <w:noProof/>
            <w:webHidden/>
          </w:rPr>
          <w:fldChar w:fldCharType="begin"/>
        </w:r>
        <w:r w:rsidR="00F77331">
          <w:rPr>
            <w:noProof/>
            <w:webHidden/>
          </w:rPr>
          <w:instrText xml:space="preserve"> PAGEREF _Toc22120183 \h </w:instrText>
        </w:r>
        <w:r w:rsidR="00F77331">
          <w:rPr>
            <w:noProof/>
            <w:webHidden/>
          </w:rPr>
        </w:r>
        <w:r w:rsidR="00F77331">
          <w:rPr>
            <w:noProof/>
            <w:webHidden/>
          </w:rPr>
          <w:fldChar w:fldCharType="separate"/>
        </w:r>
        <w:r w:rsidR="00BB479E">
          <w:rPr>
            <w:noProof/>
            <w:webHidden/>
          </w:rPr>
          <w:t>67</w:t>
        </w:r>
        <w:r w:rsidR="00F77331">
          <w:rPr>
            <w:noProof/>
            <w:webHidden/>
          </w:rPr>
          <w:fldChar w:fldCharType="end"/>
        </w:r>
      </w:hyperlink>
    </w:p>
    <w:p w14:paraId="7667858D" w14:textId="692DEC10"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84" w:history="1">
        <w:r w:rsidR="00F77331" w:rsidRPr="00436186">
          <w:rPr>
            <w:rStyle w:val="Hyperlink"/>
            <w:noProof/>
          </w:rPr>
          <w:t>8.4</w:t>
        </w:r>
        <w:r w:rsidR="00F77331">
          <w:rPr>
            <w:rFonts w:asciiTheme="minorHAnsi" w:hAnsiTheme="minorHAnsi" w:cstheme="minorBidi"/>
            <w:smallCaps w:val="0"/>
            <w:noProof/>
            <w:sz w:val="22"/>
            <w:szCs w:val="22"/>
            <w:lang w:eastAsia="en-AU"/>
          </w:rPr>
          <w:tab/>
        </w:r>
        <w:r w:rsidR="00F77331" w:rsidRPr="00436186">
          <w:rPr>
            <w:rStyle w:val="Hyperlink"/>
            <w:noProof/>
          </w:rPr>
          <w:t>Implications for the City of Greater Geelong Social Housing Plan</w:t>
        </w:r>
        <w:r w:rsidR="00F77331">
          <w:rPr>
            <w:noProof/>
            <w:webHidden/>
          </w:rPr>
          <w:tab/>
        </w:r>
        <w:r w:rsidR="00F77331">
          <w:rPr>
            <w:noProof/>
            <w:webHidden/>
          </w:rPr>
          <w:fldChar w:fldCharType="begin"/>
        </w:r>
        <w:r w:rsidR="00F77331">
          <w:rPr>
            <w:noProof/>
            <w:webHidden/>
          </w:rPr>
          <w:instrText xml:space="preserve"> PAGEREF _Toc22120184 \h </w:instrText>
        </w:r>
        <w:r w:rsidR="00F77331">
          <w:rPr>
            <w:noProof/>
            <w:webHidden/>
          </w:rPr>
        </w:r>
        <w:r w:rsidR="00F77331">
          <w:rPr>
            <w:noProof/>
            <w:webHidden/>
          </w:rPr>
          <w:fldChar w:fldCharType="separate"/>
        </w:r>
        <w:r w:rsidR="00BB479E">
          <w:rPr>
            <w:noProof/>
            <w:webHidden/>
          </w:rPr>
          <w:t>68</w:t>
        </w:r>
        <w:r w:rsidR="00F77331">
          <w:rPr>
            <w:noProof/>
            <w:webHidden/>
          </w:rPr>
          <w:fldChar w:fldCharType="end"/>
        </w:r>
      </w:hyperlink>
    </w:p>
    <w:p w14:paraId="7C7B65D5" w14:textId="463C85D8" w:rsidR="00F77331" w:rsidRDefault="00515EE9" w:rsidP="00194D9A">
      <w:pPr>
        <w:pStyle w:val="TOC1"/>
        <w:rPr>
          <w:rFonts w:asciiTheme="minorHAnsi" w:hAnsiTheme="minorHAnsi" w:cstheme="minorBidi"/>
          <w:noProof/>
          <w:color w:val="auto"/>
          <w:sz w:val="22"/>
          <w:szCs w:val="22"/>
          <w:lang w:eastAsia="en-AU"/>
        </w:rPr>
      </w:pPr>
      <w:hyperlink w:anchor="_Toc22120185" w:history="1">
        <w:r w:rsidR="00F77331" w:rsidRPr="00436186">
          <w:rPr>
            <w:rStyle w:val="Hyperlink"/>
            <w:noProof/>
          </w:rPr>
          <w:t>9.</w:t>
        </w:r>
        <w:r w:rsidR="00F77331">
          <w:rPr>
            <w:rFonts w:asciiTheme="minorHAnsi" w:hAnsiTheme="minorHAnsi" w:cstheme="minorBidi"/>
            <w:noProof/>
            <w:color w:val="auto"/>
            <w:sz w:val="22"/>
            <w:szCs w:val="22"/>
            <w:lang w:eastAsia="en-AU"/>
          </w:rPr>
          <w:tab/>
        </w:r>
        <w:r w:rsidR="00F77331" w:rsidRPr="00436186">
          <w:rPr>
            <w:rStyle w:val="Hyperlink"/>
            <w:noProof/>
          </w:rPr>
          <w:t>Where will future social housing supply come from?</w:t>
        </w:r>
        <w:r w:rsidR="00F77331">
          <w:rPr>
            <w:noProof/>
            <w:webHidden/>
          </w:rPr>
          <w:tab/>
        </w:r>
        <w:r w:rsidR="00F77331">
          <w:rPr>
            <w:noProof/>
            <w:webHidden/>
          </w:rPr>
          <w:fldChar w:fldCharType="begin"/>
        </w:r>
        <w:r w:rsidR="00F77331">
          <w:rPr>
            <w:noProof/>
            <w:webHidden/>
          </w:rPr>
          <w:instrText xml:space="preserve"> PAGEREF _Toc22120185 \h </w:instrText>
        </w:r>
        <w:r w:rsidR="00F77331">
          <w:rPr>
            <w:noProof/>
            <w:webHidden/>
          </w:rPr>
        </w:r>
        <w:r w:rsidR="00F77331">
          <w:rPr>
            <w:noProof/>
            <w:webHidden/>
          </w:rPr>
          <w:fldChar w:fldCharType="separate"/>
        </w:r>
        <w:r w:rsidR="00BB479E">
          <w:rPr>
            <w:noProof/>
            <w:webHidden/>
          </w:rPr>
          <w:t>69</w:t>
        </w:r>
        <w:r w:rsidR="00F77331">
          <w:rPr>
            <w:noProof/>
            <w:webHidden/>
          </w:rPr>
          <w:fldChar w:fldCharType="end"/>
        </w:r>
      </w:hyperlink>
    </w:p>
    <w:p w14:paraId="24FEA713" w14:textId="407FC261"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86" w:history="1">
        <w:r w:rsidR="00F77331" w:rsidRPr="00436186">
          <w:rPr>
            <w:rStyle w:val="Hyperlink"/>
            <w:noProof/>
          </w:rPr>
          <w:t xml:space="preserve">9.1 </w:t>
        </w:r>
        <w:r w:rsidR="00F77331">
          <w:rPr>
            <w:rStyle w:val="Hyperlink"/>
            <w:noProof/>
          </w:rPr>
          <w:t xml:space="preserve">   </w:t>
        </w:r>
        <w:r w:rsidR="00F77331" w:rsidRPr="00436186">
          <w:rPr>
            <w:rStyle w:val="Hyperlink"/>
            <w:noProof/>
          </w:rPr>
          <w:t>What is the potential of Council owned land?</w:t>
        </w:r>
        <w:r w:rsidR="00F77331">
          <w:rPr>
            <w:noProof/>
            <w:webHidden/>
          </w:rPr>
          <w:tab/>
        </w:r>
        <w:r w:rsidR="00F77331">
          <w:rPr>
            <w:noProof/>
            <w:webHidden/>
          </w:rPr>
          <w:fldChar w:fldCharType="begin"/>
        </w:r>
        <w:r w:rsidR="00F77331">
          <w:rPr>
            <w:noProof/>
            <w:webHidden/>
          </w:rPr>
          <w:instrText xml:space="preserve"> PAGEREF _Toc22120186 \h </w:instrText>
        </w:r>
        <w:r w:rsidR="00F77331">
          <w:rPr>
            <w:noProof/>
            <w:webHidden/>
          </w:rPr>
        </w:r>
        <w:r w:rsidR="00F77331">
          <w:rPr>
            <w:noProof/>
            <w:webHidden/>
          </w:rPr>
          <w:fldChar w:fldCharType="separate"/>
        </w:r>
        <w:r w:rsidR="00BB479E">
          <w:rPr>
            <w:noProof/>
            <w:webHidden/>
          </w:rPr>
          <w:t>69</w:t>
        </w:r>
        <w:r w:rsidR="00F77331">
          <w:rPr>
            <w:noProof/>
            <w:webHidden/>
          </w:rPr>
          <w:fldChar w:fldCharType="end"/>
        </w:r>
      </w:hyperlink>
    </w:p>
    <w:p w14:paraId="585C3FC5" w14:textId="386C4361"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87" w:history="1">
        <w:r w:rsidR="00F77331" w:rsidRPr="00436186">
          <w:rPr>
            <w:rStyle w:val="Hyperlink"/>
            <w:noProof/>
          </w:rPr>
          <w:t xml:space="preserve">9.2 </w:t>
        </w:r>
        <w:r w:rsidR="00F77331">
          <w:rPr>
            <w:rStyle w:val="Hyperlink"/>
            <w:noProof/>
          </w:rPr>
          <w:t xml:space="preserve">   </w:t>
        </w:r>
        <w:r w:rsidR="00F77331" w:rsidRPr="00436186">
          <w:rPr>
            <w:rStyle w:val="Hyperlink"/>
            <w:noProof/>
          </w:rPr>
          <w:t>What is the potential of other government owned land?</w:t>
        </w:r>
        <w:r w:rsidR="00F77331">
          <w:rPr>
            <w:noProof/>
            <w:webHidden/>
          </w:rPr>
          <w:tab/>
        </w:r>
        <w:r w:rsidR="00F77331">
          <w:rPr>
            <w:noProof/>
            <w:webHidden/>
          </w:rPr>
          <w:fldChar w:fldCharType="begin"/>
        </w:r>
        <w:r w:rsidR="00F77331">
          <w:rPr>
            <w:noProof/>
            <w:webHidden/>
          </w:rPr>
          <w:instrText xml:space="preserve"> PAGEREF _Toc22120187 \h </w:instrText>
        </w:r>
        <w:r w:rsidR="00F77331">
          <w:rPr>
            <w:noProof/>
            <w:webHidden/>
          </w:rPr>
        </w:r>
        <w:r w:rsidR="00F77331">
          <w:rPr>
            <w:noProof/>
            <w:webHidden/>
          </w:rPr>
          <w:fldChar w:fldCharType="separate"/>
        </w:r>
        <w:r w:rsidR="00BB479E">
          <w:rPr>
            <w:noProof/>
            <w:webHidden/>
          </w:rPr>
          <w:t>69</w:t>
        </w:r>
        <w:r w:rsidR="00F77331">
          <w:rPr>
            <w:noProof/>
            <w:webHidden/>
          </w:rPr>
          <w:fldChar w:fldCharType="end"/>
        </w:r>
      </w:hyperlink>
    </w:p>
    <w:p w14:paraId="6607476C" w14:textId="3B325C93"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88" w:history="1">
        <w:r w:rsidR="00F77331" w:rsidRPr="00436186">
          <w:rPr>
            <w:rStyle w:val="Hyperlink"/>
            <w:noProof/>
          </w:rPr>
          <w:t xml:space="preserve">9.3 </w:t>
        </w:r>
        <w:r w:rsidR="00F77331">
          <w:rPr>
            <w:rStyle w:val="Hyperlink"/>
            <w:noProof/>
          </w:rPr>
          <w:t xml:space="preserve">   </w:t>
        </w:r>
        <w:r w:rsidR="00F77331" w:rsidRPr="00436186">
          <w:rPr>
            <w:rStyle w:val="Hyperlink"/>
            <w:noProof/>
          </w:rPr>
          <w:t>What is the potential of private land?</w:t>
        </w:r>
        <w:r w:rsidR="00F77331">
          <w:rPr>
            <w:noProof/>
            <w:webHidden/>
          </w:rPr>
          <w:tab/>
        </w:r>
        <w:r w:rsidR="00F77331">
          <w:rPr>
            <w:noProof/>
            <w:webHidden/>
          </w:rPr>
          <w:fldChar w:fldCharType="begin"/>
        </w:r>
        <w:r w:rsidR="00F77331">
          <w:rPr>
            <w:noProof/>
            <w:webHidden/>
          </w:rPr>
          <w:instrText xml:space="preserve"> PAGEREF _Toc22120188 \h </w:instrText>
        </w:r>
        <w:r w:rsidR="00F77331">
          <w:rPr>
            <w:noProof/>
            <w:webHidden/>
          </w:rPr>
        </w:r>
        <w:r w:rsidR="00F77331">
          <w:rPr>
            <w:noProof/>
            <w:webHidden/>
          </w:rPr>
          <w:fldChar w:fldCharType="separate"/>
        </w:r>
        <w:r w:rsidR="00BB479E">
          <w:rPr>
            <w:noProof/>
            <w:webHidden/>
          </w:rPr>
          <w:t>70</w:t>
        </w:r>
        <w:r w:rsidR="00F77331">
          <w:rPr>
            <w:noProof/>
            <w:webHidden/>
          </w:rPr>
          <w:fldChar w:fldCharType="end"/>
        </w:r>
      </w:hyperlink>
    </w:p>
    <w:p w14:paraId="404BF8CA" w14:textId="71D1A75B" w:rsidR="00F77331" w:rsidRDefault="00515EE9">
      <w:pPr>
        <w:pStyle w:val="TOC2"/>
        <w:tabs>
          <w:tab w:val="left" w:pos="720"/>
          <w:tab w:val="right" w:leader="dot" w:pos="9204"/>
        </w:tabs>
        <w:rPr>
          <w:rFonts w:asciiTheme="minorHAnsi" w:hAnsiTheme="minorHAnsi" w:cstheme="minorBidi"/>
          <w:smallCaps w:val="0"/>
          <w:noProof/>
          <w:sz w:val="22"/>
          <w:szCs w:val="22"/>
          <w:lang w:eastAsia="en-AU"/>
        </w:rPr>
      </w:pPr>
      <w:hyperlink w:anchor="_Toc22120189" w:history="1">
        <w:r w:rsidR="00F77331" w:rsidRPr="00436186">
          <w:rPr>
            <w:rStyle w:val="Hyperlink"/>
            <w:noProof/>
          </w:rPr>
          <w:t>9.4</w:t>
        </w:r>
        <w:r w:rsidR="00F77331">
          <w:rPr>
            <w:rFonts w:asciiTheme="minorHAnsi" w:hAnsiTheme="minorHAnsi" w:cstheme="minorBidi"/>
            <w:smallCaps w:val="0"/>
            <w:noProof/>
            <w:sz w:val="22"/>
            <w:szCs w:val="22"/>
            <w:lang w:eastAsia="en-AU"/>
          </w:rPr>
          <w:t xml:space="preserve">   </w:t>
        </w:r>
        <w:r w:rsidR="00F77331" w:rsidRPr="00436186">
          <w:rPr>
            <w:rStyle w:val="Hyperlink"/>
            <w:noProof/>
          </w:rPr>
          <w:t>What are the key challenges related to current and future social housing?</w:t>
        </w:r>
        <w:r w:rsidR="00F77331">
          <w:rPr>
            <w:noProof/>
            <w:webHidden/>
          </w:rPr>
          <w:tab/>
        </w:r>
        <w:r w:rsidR="00F77331">
          <w:rPr>
            <w:noProof/>
            <w:webHidden/>
          </w:rPr>
          <w:fldChar w:fldCharType="begin"/>
        </w:r>
        <w:r w:rsidR="00F77331">
          <w:rPr>
            <w:noProof/>
            <w:webHidden/>
          </w:rPr>
          <w:instrText xml:space="preserve"> PAGEREF _Toc22120189 \h </w:instrText>
        </w:r>
        <w:r w:rsidR="00F77331">
          <w:rPr>
            <w:noProof/>
            <w:webHidden/>
          </w:rPr>
        </w:r>
        <w:r w:rsidR="00F77331">
          <w:rPr>
            <w:noProof/>
            <w:webHidden/>
          </w:rPr>
          <w:fldChar w:fldCharType="separate"/>
        </w:r>
        <w:r w:rsidR="00BB479E">
          <w:rPr>
            <w:noProof/>
            <w:webHidden/>
          </w:rPr>
          <w:t>72</w:t>
        </w:r>
        <w:r w:rsidR="00F77331">
          <w:rPr>
            <w:noProof/>
            <w:webHidden/>
          </w:rPr>
          <w:fldChar w:fldCharType="end"/>
        </w:r>
      </w:hyperlink>
    </w:p>
    <w:p w14:paraId="3D942F34" w14:textId="23F4B382" w:rsidR="00F77331" w:rsidRDefault="00515EE9" w:rsidP="00194D9A">
      <w:pPr>
        <w:pStyle w:val="TOC1"/>
        <w:rPr>
          <w:rFonts w:asciiTheme="minorHAnsi" w:hAnsiTheme="minorHAnsi" w:cstheme="minorBidi"/>
          <w:noProof/>
          <w:color w:val="auto"/>
          <w:sz w:val="22"/>
          <w:szCs w:val="22"/>
          <w:lang w:eastAsia="en-AU"/>
        </w:rPr>
      </w:pPr>
      <w:hyperlink w:anchor="_Toc22120190" w:history="1">
        <w:r w:rsidR="00F77331" w:rsidRPr="00436186">
          <w:rPr>
            <w:rStyle w:val="Hyperlink"/>
            <w:noProof/>
          </w:rPr>
          <w:t>10.</w:t>
        </w:r>
        <w:r w:rsidR="00F77331">
          <w:rPr>
            <w:rFonts w:asciiTheme="minorHAnsi" w:hAnsiTheme="minorHAnsi" w:cstheme="minorBidi"/>
            <w:noProof/>
            <w:color w:val="auto"/>
            <w:sz w:val="22"/>
            <w:szCs w:val="22"/>
            <w:lang w:eastAsia="en-AU"/>
          </w:rPr>
          <w:tab/>
        </w:r>
        <w:r w:rsidR="00F77331" w:rsidRPr="00436186">
          <w:rPr>
            <w:rStyle w:val="Hyperlink"/>
            <w:noProof/>
          </w:rPr>
          <w:t>Where will the finance for Social Housing come from?</w:t>
        </w:r>
        <w:r w:rsidR="00F77331">
          <w:rPr>
            <w:noProof/>
            <w:webHidden/>
          </w:rPr>
          <w:tab/>
        </w:r>
        <w:r w:rsidR="00F77331">
          <w:rPr>
            <w:noProof/>
            <w:webHidden/>
          </w:rPr>
          <w:fldChar w:fldCharType="begin"/>
        </w:r>
        <w:r w:rsidR="00F77331">
          <w:rPr>
            <w:noProof/>
            <w:webHidden/>
          </w:rPr>
          <w:instrText xml:space="preserve"> PAGEREF _Toc22120190 \h </w:instrText>
        </w:r>
        <w:r w:rsidR="00F77331">
          <w:rPr>
            <w:noProof/>
            <w:webHidden/>
          </w:rPr>
        </w:r>
        <w:r w:rsidR="00F77331">
          <w:rPr>
            <w:noProof/>
            <w:webHidden/>
          </w:rPr>
          <w:fldChar w:fldCharType="separate"/>
        </w:r>
        <w:r w:rsidR="00BB479E">
          <w:rPr>
            <w:noProof/>
            <w:webHidden/>
          </w:rPr>
          <w:t>74</w:t>
        </w:r>
        <w:r w:rsidR="00F77331">
          <w:rPr>
            <w:noProof/>
            <w:webHidden/>
          </w:rPr>
          <w:fldChar w:fldCharType="end"/>
        </w:r>
      </w:hyperlink>
    </w:p>
    <w:p w14:paraId="78E3C537" w14:textId="319CF665"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91" w:history="1">
        <w:r w:rsidR="00F77331" w:rsidRPr="00436186">
          <w:rPr>
            <w:rStyle w:val="Hyperlink"/>
            <w:noProof/>
          </w:rPr>
          <w:t>10.1 What is the scale of investment in social housing required?</w:t>
        </w:r>
        <w:r w:rsidR="00F77331">
          <w:rPr>
            <w:noProof/>
            <w:webHidden/>
          </w:rPr>
          <w:tab/>
        </w:r>
        <w:r w:rsidR="00F77331">
          <w:rPr>
            <w:noProof/>
            <w:webHidden/>
          </w:rPr>
          <w:fldChar w:fldCharType="begin"/>
        </w:r>
        <w:r w:rsidR="00F77331">
          <w:rPr>
            <w:noProof/>
            <w:webHidden/>
          </w:rPr>
          <w:instrText xml:space="preserve"> PAGEREF _Toc22120191 \h </w:instrText>
        </w:r>
        <w:r w:rsidR="00F77331">
          <w:rPr>
            <w:noProof/>
            <w:webHidden/>
          </w:rPr>
        </w:r>
        <w:r w:rsidR="00F77331">
          <w:rPr>
            <w:noProof/>
            <w:webHidden/>
          </w:rPr>
          <w:fldChar w:fldCharType="separate"/>
        </w:r>
        <w:r w:rsidR="00BB479E">
          <w:rPr>
            <w:noProof/>
            <w:webHidden/>
          </w:rPr>
          <w:t>74</w:t>
        </w:r>
        <w:r w:rsidR="00F77331">
          <w:rPr>
            <w:noProof/>
            <w:webHidden/>
          </w:rPr>
          <w:fldChar w:fldCharType="end"/>
        </w:r>
      </w:hyperlink>
    </w:p>
    <w:p w14:paraId="5511BB53" w14:textId="782ACC22"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92" w:history="1">
        <w:r w:rsidR="00F77331" w:rsidRPr="00436186">
          <w:rPr>
            <w:rStyle w:val="Hyperlink"/>
            <w:noProof/>
          </w:rPr>
          <w:t>10.2 What can the Commonwealth Government contribute?</w:t>
        </w:r>
        <w:r w:rsidR="00F77331">
          <w:rPr>
            <w:noProof/>
            <w:webHidden/>
          </w:rPr>
          <w:tab/>
        </w:r>
        <w:r w:rsidR="00F77331">
          <w:rPr>
            <w:noProof/>
            <w:webHidden/>
          </w:rPr>
          <w:fldChar w:fldCharType="begin"/>
        </w:r>
        <w:r w:rsidR="00F77331">
          <w:rPr>
            <w:noProof/>
            <w:webHidden/>
          </w:rPr>
          <w:instrText xml:space="preserve"> PAGEREF _Toc22120192 \h </w:instrText>
        </w:r>
        <w:r w:rsidR="00F77331">
          <w:rPr>
            <w:noProof/>
            <w:webHidden/>
          </w:rPr>
        </w:r>
        <w:r w:rsidR="00F77331">
          <w:rPr>
            <w:noProof/>
            <w:webHidden/>
          </w:rPr>
          <w:fldChar w:fldCharType="separate"/>
        </w:r>
        <w:r w:rsidR="00BB479E">
          <w:rPr>
            <w:noProof/>
            <w:webHidden/>
          </w:rPr>
          <w:t>74</w:t>
        </w:r>
        <w:r w:rsidR="00F77331">
          <w:rPr>
            <w:noProof/>
            <w:webHidden/>
          </w:rPr>
          <w:fldChar w:fldCharType="end"/>
        </w:r>
      </w:hyperlink>
    </w:p>
    <w:p w14:paraId="244C522B" w14:textId="4333A319"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93" w:history="1">
        <w:r w:rsidR="00F77331" w:rsidRPr="00436186">
          <w:rPr>
            <w:rStyle w:val="Hyperlink"/>
            <w:noProof/>
          </w:rPr>
          <w:t>10.3 What can the State Government contribute?</w:t>
        </w:r>
        <w:r w:rsidR="00F77331">
          <w:rPr>
            <w:noProof/>
            <w:webHidden/>
          </w:rPr>
          <w:tab/>
        </w:r>
        <w:r w:rsidR="00F77331">
          <w:rPr>
            <w:noProof/>
            <w:webHidden/>
          </w:rPr>
          <w:fldChar w:fldCharType="begin"/>
        </w:r>
        <w:r w:rsidR="00F77331">
          <w:rPr>
            <w:noProof/>
            <w:webHidden/>
          </w:rPr>
          <w:instrText xml:space="preserve"> PAGEREF _Toc22120193 \h </w:instrText>
        </w:r>
        <w:r w:rsidR="00F77331">
          <w:rPr>
            <w:noProof/>
            <w:webHidden/>
          </w:rPr>
        </w:r>
        <w:r w:rsidR="00F77331">
          <w:rPr>
            <w:noProof/>
            <w:webHidden/>
          </w:rPr>
          <w:fldChar w:fldCharType="separate"/>
        </w:r>
        <w:r w:rsidR="00BB479E">
          <w:rPr>
            <w:noProof/>
            <w:webHidden/>
          </w:rPr>
          <w:t>76</w:t>
        </w:r>
        <w:r w:rsidR="00F77331">
          <w:rPr>
            <w:noProof/>
            <w:webHidden/>
          </w:rPr>
          <w:fldChar w:fldCharType="end"/>
        </w:r>
      </w:hyperlink>
    </w:p>
    <w:p w14:paraId="1EF90E7E" w14:textId="6400210E"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94" w:history="1">
        <w:r w:rsidR="00F77331" w:rsidRPr="00436186">
          <w:rPr>
            <w:rStyle w:val="Hyperlink"/>
            <w:noProof/>
          </w:rPr>
          <w:t>10.4 What can a Local Government contribute?</w:t>
        </w:r>
        <w:r w:rsidR="00F77331">
          <w:rPr>
            <w:noProof/>
            <w:webHidden/>
          </w:rPr>
          <w:tab/>
        </w:r>
        <w:r w:rsidR="00F77331">
          <w:rPr>
            <w:noProof/>
            <w:webHidden/>
          </w:rPr>
          <w:fldChar w:fldCharType="begin"/>
        </w:r>
        <w:r w:rsidR="00F77331">
          <w:rPr>
            <w:noProof/>
            <w:webHidden/>
          </w:rPr>
          <w:instrText xml:space="preserve"> PAGEREF _Toc22120194 \h </w:instrText>
        </w:r>
        <w:r w:rsidR="00F77331">
          <w:rPr>
            <w:noProof/>
            <w:webHidden/>
          </w:rPr>
        </w:r>
        <w:r w:rsidR="00F77331">
          <w:rPr>
            <w:noProof/>
            <w:webHidden/>
          </w:rPr>
          <w:fldChar w:fldCharType="separate"/>
        </w:r>
        <w:r w:rsidR="00BB479E">
          <w:rPr>
            <w:noProof/>
            <w:webHidden/>
          </w:rPr>
          <w:t>79</w:t>
        </w:r>
        <w:r w:rsidR="00F77331">
          <w:rPr>
            <w:noProof/>
            <w:webHidden/>
          </w:rPr>
          <w:fldChar w:fldCharType="end"/>
        </w:r>
      </w:hyperlink>
    </w:p>
    <w:p w14:paraId="53ADCD91" w14:textId="65936B27" w:rsidR="00F77331" w:rsidRDefault="00515EE9">
      <w:pPr>
        <w:pStyle w:val="TOC2"/>
        <w:tabs>
          <w:tab w:val="right" w:leader="dot" w:pos="9204"/>
        </w:tabs>
        <w:rPr>
          <w:rFonts w:asciiTheme="minorHAnsi" w:hAnsiTheme="minorHAnsi" w:cstheme="minorBidi"/>
          <w:smallCaps w:val="0"/>
          <w:noProof/>
          <w:sz w:val="22"/>
          <w:szCs w:val="22"/>
          <w:lang w:eastAsia="en-AU"/>
        </w:rPr>
      </w:pPr>
      <w:hyperlink w:anchor="_Toc22120195" w:history="1">
        <w:r w:rsidR="00F77331" w:rsidRPr="00436186">
          <w:rPr>
            <w:rStyle w:val="Hyperlink"/>
            <w:noProof/>
          </w:rPr>
          <w:t>10.5 Benefits of working with a Registered Housing Association – lessons from other LGA’s</w:t>
        </w:r>
        <w:r w:rsidR="00F77331">
          <w:rPr>
            <w:noProof/>
            <w:webHidden/>
          </w:rPr>
          <w:tab/>
        </w:r>
        <w:r w:rsidR="00F77331">
          <w:rPr>
            <w:noProof/>
            <w:webHidden/>
          </w:rPr>
          <w:fldChar w:fldCharType="begin"/>
        </w:r>
        <w:r w:rsidR="00F77331">
          <w:rPr>
            <w:noProof/>
            <w:webHidden/>
          </w:rPr>
          <w:instrText xml:space="preserve"> PAGEREF _Toc22120195 \h </w:instrText>
        </w:r>
        <w:r w:rsidR="00F77331">
          <w:rPr>
            <w:noProof/>
            <w:webHidden/>
          </w:rPr>
        </w:r>
        <w:r w:rsidR="00F77331">
          <w:rPr>
            <w:noProof/>
            <w:webHidden/>
          </w:rPr>
          <w:fldChar w:fldCharType="separate"/>
        </w:r>
        <w:r w:rsidR="00BB479E">
          <w:rPr>
            <w:noProof/>
            <w:webHidden/>
          </w:rPr>
          <w:t>80</w:t>
        </w:r>
        <w:r w:rsidR="00F77331">
          <w:rPr>
            <w:noProof/>
            <w:webHidden/>
          </w:rPr>
          <w:fldChar w:fldCharType="end"/>
        </w:r>
      </w:hyperlink>
    </w:p>
    <w:p w14:paraId="4DB40CB1" w14:textId="2540B189" w:rsidR="00F77331" w:rsidRDefault="00515EE9" w:rsidP="00194D9A">
      <w:pPr>
        <w:pStyle w:val="TOC1"/>
        <w:rPr>
          <w:rFonts w:asciiTheme="minorHAnsi" w:hAnsiTheme="minorHAnsi" w:cstheme="minorBidi"/>
          <w:noProof/>
          <w:color w:val="auto"/>
          <w:sz w:val="22"/>
          <w:szCs w:val="22"/>
          <w:lang w:eastAsia="en-AU"/>
        </w:rPr>
      </w:pPr>
      <w:hyperlink w:anchor="_Toc22120196" w:history="1">
        <w:r w:rsidR="00F77331" w:rsidRPr="00436186">
          <w:rPr>
            <w:rStyle w:val="Hyperlink"/>
            <w:noProof/>
          </w:rPr>
          <w:t>11.</w:t>
        </w:r>
        <w:r w:rsidR="00F77331">
          <w:rPr>
            <w:rFonts w:asciiTheme="minorHAnsi" w:hAnsiTheme="minorHAnsi" w:cstheme="minorBidi"/>
            <w:noProof/>
            <w:color w:val="auto"/>
            <w:sz w:val="22"/>
            <w:szCs w:val="22"/>
            <w:lang w:eastAsia="en-AU"/>
          </w:rPr>
          <w:tab/>
        </w:r>
        <w:r w:rsidR="00F77331" w:rsidRPr="00436186">
          <w:rPr>
            <w:rStyle w:val="Hyperlink"/>
            <w:noProof/>
          </w:rPr>
          <w:t>Attachments</w:t>
        </w:r>
        <w:r w:rsidR="00F77331">
          <w:rPr>
            <w:noProof/>
            <w:webHidden/>
          </w:rPr>
          <w:tab/>
        </w:r>
        <w:r w:rsidR="00F77331">
          <w:rPr>
            <w:noProof/>
            <w:webHidden/>
          </w:rPr>
          <w:fldChar w:fldCharType="begin"/>
        </w:r>
        <w:r w:rsidR="00F77331">
          <w:rPr>
            <w:noProof/>
            <w:webHidden/>
          </w:rPr>
          <w:instrText xml:space="preserve"> PAGEREF _Toc22120196 \h </w:instrText>
        </w:r>
        <w:r w:rsidR="00F77331">
          <w:rPr>
            <w:noProof/>
            <w:webHidden/>
          </w:rPr>
        </w:r>
        <w:r w:rsidR="00F77331">
          <w:rPr>
            <w:noProof/>
            <w:webHidden/>
          </w:rPr>
          <w:fldChar w:fldCharType="separate"/>
        </w:r>
        <w:r w:rsidR="00BB479E">
          <w:rPr>
            <w:noProof/>
            <w:webHidden/>
          </w:rPr>
          <w:t>84</w:t>
        </w:r>
        <w:r w:rsidR="00F77331">
          <w:rPr>
            <w:noProof/>
            <w:webHidden/>
          </w:rPr>
          <w:fldChar w:fldCharType="end"/>
        </w:r>
      </w:hyperlink>
    </w:p>
    <w:p w14:paraId="57C2C562" w14:textId="06CA4EA4" w:rsidR="00B764FC" w:rsidRDefault="00FF5CA4">
      <w:pPr>
        <w:tabs>
          <w:tab w:val="left" w:pos="993"/>
        </w:tabs>
        <w:spacing w:line="276" w:lineRule="auto"/>
        <w:ind w:left="1418" w:hanging="425"/>
        <w:jc w:val="both"/>
        <w:rPr>
          <w:color w:val="000000"/>
          <w:sz w:val="22"/>
          <w:szCs w:val="22"/>
        </w:rPr>
      </w:pPr>
      <w:r>
        <w:rPr>
          <w:i/>
          <w:iCs/>
          <w:sz w:val="22"/>
          <w:szCs w:val="22"/>
        </w:rPr>
        <w:fldChar w:fldCharType="end"/>
      </w:r>
    </w:p>
    <w:p w14:paraId="661B34F7" w14:textId="77777777" w:rsidR="00B764FC" w:rsidRDefault="00B764FC">
      <w:pPr>
        <w:rPr>
          <w:b/>
          <w:bCs/>
          <w:sz w:val="22"/>
          <w:szCs w:val="22"/>
        </w:rPr>
      </w:pPr>
      <w:r>
        <w:rPr>
          <w:b/>
          <w:bCs/>
          <w:sz w:val="22"/>
          <w:szCs w:val="22"/>
        </w:rPr>
        <w:br w:type="page"/>
      </w:r>
    </w:p>
    <w:p w14:paraId="3CCBC4F1" w14:textId="77777777" w:rsidR="00B764FC" w:rsidRDefault="00B764FC">
      <w:pPr>
        <w:tabs>
          <w:tab w:val="left" w:pos="993"/>
        </w:tabs>
        <w:spacing w:line="276" w:lineRule="auto"/>
        <w:jc w:val="both"/>
        <w:rPr>
          <w:b/>
          <w:bCs/>
          <w:sz w:val="22"/>
          <w:szCs w:val="22"/>
        </w:rPr>
      </w:pPr>
      <w:r>
        <w:rPr>
          <w:b/>
          <w:bCs/>
          <w:sz w:val="22"/>
          <w:szCs w:val="22"/>
        </w:rPr>
        <w:lastRenderedPageBreak/>
        <w:t>List of Tables</w:t>
      </w:r>
    </w:p>
    <w:p w14:paraId="704F29E3" w14:textId="77777777" w:rsidR="00B764FC" w:rsidRPr="006D63E0" w:rsidRDefault="00B764FC">
      <w:pPr>
        <w:tabs>
          <w:tab w:val="left" w:pos="993"/>
        </w:tabs>
        <w:spacing w:line="276" w:lineRule="auto"/>
        <w:ind w:left="1418" w:firstLine="425"/>
        <w:jc w:val="both"/>
        <w:rPr>
          <w:rFonts w:ascii="Verdana" w:hAnsi="Verdana" w:cs="Verdana"/>
          <w:sz w:val="22"/>
          <w:szCs w:val="22"/>
        </w:rPr>
      </w:pPr>
    </w:p>
    <w:p w14:paraId="3EE36A1C" w14:textId="33EB3315" w:rsidR="006D63E0" w:rsidRPr="006D63E0" w:rsidRDefault="00FF5CA4">
      <w:pPr>
        <w:pStyle w:val="TableofFigures"/>
        <w:tabs>
          <w:tab w:val="right" w:leader="dot" w:pos="9204"/>
        </w:tabs>
        <w:rPr>
          <w:rFonts w:asciiTheme="minorHAnsi" w:hAnsiTheme="minorHAnsi" w:cstheme="minorBidi"/>
          <w:noProof/>
          <w:sz w:val="22"/>
          <w:szCs w:val="22"/>
          <w:lang w:eastAsia="en-AU"/>
        </w:rPr>
      </w:pPr>
      <w:r w:rsidRPr="006D63E0">
        <w:rPr>
          <w:sz w:val="16"/>
          <w:szCs w:val="16"/>
        </w:rPr>
        <w:fldChar w:fldCharType="begin"/>
      </w:r>
      <w:r w:rsidR="00B764FC" w:rsidRPr="006D63E0">
        <w:rPr>
          <w:sz w:val="16"/>
          <w:szCs w:val="16"/>
        </w:rPr>
        <w:instrText xml:space="preserve"> TOC \h \z \c "Table" </w:instrText>
      </w:r>
      <w:r w:rsidRPr="006D63E0">
        <w:rPr>
          <w:sz w:val="16"/>
          <w:szCs w:val="16"/>
        </w:rPr>
        <w:fldChar w:fldCharType="separate"/>
      </w:r>
      <w:hyperlink w:anchor="_Toc22120036" w:history="1">
        <w:r w:rsidR="006D63E0" w:rsidRPr="006D63E0">
          <w:rPr>
            <w:rStyle w:val="Hyperlink"/>
            <w:noProof/>
          </w:rPr>
          <w:t>Table 1: City of Greater Geelong - Recommended Strategies and Actions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_Toc22120036 \h </w:instrText>
        </w:r>
        <w:r w:rsidR="006D63E0" w:rsidRPr="006D63E0">
          <w:rPr>
            <w:noProof/>
            <w:webHidden/>
          </w:rPr>
        </w:r>
        <w:r w:rsidR="006D63E0" w:rsidRPr="006D63E0">
          <w:rPr>
            <w:noProof/>
            <w:webHidden/>
          </w:rPr>
          <w:fldChar w:fldCharType="separate"/>
        </w:r>
        <w:r w:rsidR="00BB479E">
          <w:rPr>
            <w:noProof/>
            <w:webHidden/>
          </w:rPr>
          <w:t>15</w:t>
        </w:r>
        <w:r w:rsidR="006D63E0" w:rsidRPr="006D63E0">
          <w:rPr>
            <w:noProof/>
            <w:webHidden/>
          </w:rPr>
          <w:fldChar w:fldCharType="end"/>
        </w:r>
      </w:hyperlink>
    </w:p>
    <w:p w14:paraId="356A9D39" w14:textId="45A02540"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37" w:history="1">
        <w:r w:rsidR="006D63E0" w:rsidRPr="006D63E0">
          <w:rPr>
            <w:rStyle w:val="Hyperlink"/>
            <w:noProof/>
          </w:rPr>
          <w:t>Table 2:</w:t>
        </w:r>
        <w:r w:rsidR="006D63E0">
          <w:rPr>
            <w:rFonts w:asciiTheme="minorHAnsi" w:hAnsiTheme="minorHAnsi" w:cstheme="minorBidi"/>
            <w:noProof/>
            <w:sz w:val="22"/>
            <w:szCs w:val="22"/>
            <w:lang w:eastAsia="en-AU"/>
          </w:rPr>
          <w:t xml:space="preserve">  </w:t>
        </w:r>
        <w:r w:rsidR="006D63E0" w:rsidRPr="006D63E0">
          <w:rPr>
            <w:rStyle w:val="Hyperlink"/>
            <w:noProof/>
          </w:rPr>
          <w:t>Principles for consideration in developing social housing outcomes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_Toc22120037 \h </w:instrText>
        </w:r>
        <w:r w:rsidR="006D63E0" w:rsidRPr="006D63E0">
          <w:rPr>
            <w:noProof/>
            <w:webHidden/>
          </w:rPr>
        </w:r>
        <w:r w:rsidR="006D63E0" w:rsidRPr="006D63E0">
          <w:rPr>
            <w:noProof/>
            <w:webHidden/>
          </w:rPr>
          <w:fldChar w:fldCharType="separate"/>
        </w:r>
        <w:r w:rsidR="00BB479E">
          <w:rPr>
            <w:noProof/>
            <w:webHidden/>
          </w:rPr>
          <w:t>31</w:t>
        </w:r>
        <w:r w:rsidR="006D63E0" w:rsidRPr="006D63E0">
          <w:rPr>
            <w:noProof/>
            <w:webHidden/>
          </w:rPr>
          <w:fldChar w:fldCharType="end"/>
        </w:r>
      </w:hyperlink>
    </w:p>
    <w:p w14:paraId="561E6082" w14:textId="4AE29D4F"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38" w:history="1">
        <w:r w:rsidR="006D63E0" w:rsidRPr="006D63E0">
          <w:rPr>
            <w:rStyle w:val="Hyperlink"/>
            <w:noProof/>
          </w:rPr>
          <w:t>Table 3:</w:t>
        </w:r>
        <w:r w:rsidR="006D63E0">
          <w:rPr>
            <w:rFonts w:asciiTheme="minorHAnsi" w:hAnsiTheme="minorHAnsi" w:cstheme="minorBidi"/>
            <w:noProof/>
            <w:sz w:val="22"/>
            <w:szCs w:val="22"/>
            <w:lang w:eastAsia="en-AU"/>
          </w:rPr>
          <w:t xml:space="preserve">  </w:t>
        </w:r>
        <w:r w:rsidR="006D63E0" w:rsidRPr="006D63E0">
          <w:rPr>
            <w:rStyle w:val="Hyperlink"/>
            <w:noProof/>
          </w:rPr>
          <w:t>Parameters for consideration in developing social housing outcomes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_Toc22120038 \h </w:instrText>
        </w:r>
        <w:r w:rsidR="006D63E0" w:rsidRPr="006D63E0">
          <w:rPr>
            <w:noProof/>
            <w:webHidden/>
          </w:rPr>
        </w:r>
        <w:r w:rsidR="006D63E0" w:rsidRPr="006D63E0">
          <w:rPr>
            <w:noProof/>
            <w:webHidden/>
          </w:rPr>
          <w:fldChar w:fldCharType="separate"/>
        </w:r>
        <w:r w:rsidR="00BB479E">
          <w:rPr>
            <w:noProof/>
            <w:webHidden/>
          </w:rPr>
          <w:t>32</w:t>
        </w:r>
        <w:r w:rsidR="006D63E0" w:rsidRPr="006D63E0">
          <w:rPr>
            <w:noProof/>
            <w:webHidden/>
          </w:rPr>
          <w:fldChar w:fldCharType="end"/>
        </w:r>
      </w:hyperlink>
    </w:p>
    <w:p w14:paraId="66693C08" w14:textId="58F8E159"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39" w:history="1">
        <w:r w:rsidR="006D63E0" w:rsidRPr="006D63E0">
          <w:rPr>
            <w:rStyle w:val="Hyperlink"/>
            <w:noProof/>
          </w:rPr>
          <w:t>Table 4: Community Consultation Events and Attendances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_Toc22120039 \h </w:instrText>
        </w:r>
        <w:r w:rsidR="006D63E0" w:rsidRPr="006D63E0">
          <w:rPr>
            <w:noProof/>
            <w:webHidden/>
          </w:rPr>
        </w:r>
        <w:r w:rsidR="006D63E0" w:rsidRPr="006D63E0">
          <w:rPr>
            <w:noProof/>
            <w:webHidden/>
          </w:rPr>
          <w:fldChar w:fldCharType="separate"/>
        </w:r>
        <w:r w:rsidR="00BB479E">
          <w:rPr>
            <w:noProof/>
            <w:webHidden/>
          </w:rPr>
          <w:t>37</w:t>
        </w:r>
        <w:r w:rsidR="006D63E0" w:rsidRPr="006D63E0">
          <w:rPr>
            <w:noProof/>
            <w:webHidden/>
          </w:rPr>
          <w:fldChar w:fldCharType="end"/>
        </w:r>
      </w:hyperlink>
    </w:p>
    <w:p w14:paraId="6E30F2D1" w14:textId="5198277F"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40" w:history="1">
        <w:r w:rsidR="006D63E0" w:rsidRPr="006D63E0">
          <w:rPr>
            <w:rStyle w:val="Hyperlink"/>
            <w:noProof/>
          </w:rPr>
          <w:t xml:space="preserve">Table 5: </w:t>
        </w:r>
        <w:r w:rsidR="006D63E0">
          <w:rPr>
            <w:rStyle w:val="Hyperlink"/>
            <w:noProof/>
          </w:rPr>
          <w:t xml:space="preserve"> </w:t>
        </w:r>
        <w:r w:rsidR="006D63E0" w:rsidRPr="006D63E0">
          <w:rPr>
            <w:rStyle w:val="Hyperlink"/>
            <w:noProof/>
          </w:rPr>
          <w:t>What Did the Community Tell Us?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_Toc22120040 \h </w:instrText>
        </w:r>
        <w:r w:rsidR="006D63E0" w:rsidRPr="006D63E0">
          <w:rPr>
            <w:noProof/>
            <w:webHidden/>
          </w:rPr>
        </w:r>
        <w:r w:rsidR="006D63E0" w:rsidRPr="006D63E0">
          <w:rPr>
            <w:noProof/>
            <w:webHidden/>
          </w:rPr>
          <w:fldChar w:fldCharType="separate"/>
        </w:r>
        <w:r w:rsidR="00BB479E">
          <w:rPr>
            <w:noProof/>
            <w:webHidden/>
          </w:rPr>
          <w:t>38</w:t>
        </w:r>
        <w:r w:rsidR="006D63E0" w:rsidRPr="006D63E0">
          <w:rPr>
            <w:noProof/>
            <w:webHidden/>
          </w:rPr>
          <w:fldChar w:fldCharType="end"/>
        </w:r>
      </w:hyperlink>
    </w:p>
    <w:p w14:paraId="66E03C0D" w14:textId="31E7080B"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41" w:history="1">
        <w:r w:rsidR="006D63E0" w:rsidRPr="006D63E0">
          <w:rPr>
            <w:rStyle w:val="Hyperlink"/>
            <w:noProof/>
          </w:rPr>
          <w:t>Table 6:</w:t>
        </w:r>
        <w:r w:rsidR="006D63E0">
          <w:rPr>
            <w:rFonts w:asciiTheme="minorHAnsi" w:hAnsiTheme="minorHAnsi" w:cstheme="minorBidi"/>
            <w:noProof/>
            <w:sz w:val="22"/>
            <w:szCs w:val="22"/>
            <w:lang w:eastAsia="en-AU"/>
          </w:rPr>
          <w:t xml:space="preserve">  </w:t>
        </w:r>
        <w:r w:rsidR="006D63E0" w:rsidRPr="006D63E0">
          <w:rPr>
            <w:rStyle w:val="Hyperlink"/>
            <w:noProof/>
          </w:rPr>
          <w:t>Income support recipients – 2018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_Toc22120041 \h </w:instrText>
        </w:r>
        <w:r w:rsidR="006D63E0" w:rsidRPr="006D63E0">
          <w:rPr>
            <w:noProof/>
            <w:webHidden/>
          </w:rPr>
        </w:r>
        <w:r w:rsidR="006D63E0" w:rsidRPr="006D63E0">
          <w:rPr>
            <w:noProof/>
            <w:webHidden/>
          </w:rPr>
          <w:fldChar w:fldCharType="separate"/>
        </w:r>
        <w:r w:rsidR="00BB479E">
          <w:rPr>
            <w:noProof/>
            <w:webHidden/>
          </w:rPr>
          <w:t>45</w:t>
        </w:r>
        <w:r w:rsidR="006D63E0" w:rsidRPr="006D63E0">
          <w:rPr>
            <w:noProof/>
            <w:webHidden/>
          </w:rPr>
          <w:fldChar w:fldCharType="end"/>
        </w:r>
      </w:hyperlink>
    </w:p>
    <w:p w14:paraId="436CAFF0" w14:textId="49E3B917"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42" w:history="1">
        <w:r w:rsidR="006D63E0" w:rsidRPr="006D63E0">
          <w:rPr>
            <w:rStyle w:val="Hyperlink"/>
            <w:noProof/>
          </w:rPr>
          <w:t>Table 7:</w:t>
        </w:r>
        <w:r w:rsidR="006D63E0">
          <w:rPr>
            <w:rFonts w:asciiTheme="minorHAnsi" w:hAnsiTheme="minorHAnsi" w:cstheme="minorBidi"/>
            <w:noProof/>
            <w:sz w:val="22"/>
            <w:szCs w:val="22"/>
            <w:lang w:eastAsia="en-AU"/>
          </w:rPr>
          <w:t xml:space="preserve">  </w:t>
        </w:r>
        <w:r w:rsidR="006D63E0" w:rsidRPr="006D63E0">
          <w:rPr>
            <w:rStyle w:val="Hyperlink"/>
            <w:noProof/>
          </w:rPr>
          <w:t>Geelong households in housing stress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_Toc22120042 \h </w:instrText>
        </w:r>
        <w:r w:rsidR="006D63E0" w:rsidRPr="006D63E0">
          <w:rPr>
            <w:noProof/>
            <w:webHidden/>
          </w:rPr>
        </w:r>
        <w:r w:rsidR="006D63E0" w:rsidRPr="006D63E0">
          <w:rPr>
            <w:noProof/>
            <w:webHidden/>
          </w:rPr>
          <w:fldChar w:fldCharType="separate"/>
        </w:r>
        <w:r w:rsidR="00BB479E">
          <w:rPr>
            <w:noProof/>
            <w:webHidden/>
          </w:rPr>
          <w:t>47</w:t>
        </w:r>
        <w:r w:rsidR="006D63E0" w:rsidRPr="006D63E0">
          <w:rPr>
            <w:noProof/>
            <w:webHidden/>
          </w:rPr>
          <w:fldChar w:fldCharType="end"/>
        </w:r>
      </w:hyperlink>
    </w:p>
    <w:p w14:paraId="3BA675A3" w14:textId="082D0FDF"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43" w:history="1">
        <w:r w:rsidR="006D63E0" w:rsidRPr="006D63E0">
          <w:rPr>
            <w:rStyle w:val="Hyperlink"/>
            <w:noProof/>
          </w:rPr>
          <w:t>Table 8:</w:t>
        </w:r>
        <w:r w:rsidR="006D63E0">
          <w:rPr>
            <w:rFonts w:asciiTheme="minorHAnsi" w:hAnsiTheme="minorHAnsi" w:cstheme="minorBidi"/>
            <w:noProof/>
            <w:sz w:val="22"/>
            <w:szCs w:val="22"/>
            <w:lang w:eastAsia="en-AU"/>
          </w:rPr>
          <w:t xml:space="preserve">   </w:t>
        </w:r>
        <w:r w:rsidR="006D63E0" w:rsidRPr="006D63E0">
          <w:rPr>
            <w:rStyle w:val="Hyperlink"/>
            <w:noProof/>
          </w:rPr>
          <w:t>Homeless Persons by Type of Homelessness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_Toc22120043 \h </w:instrText>
        </w:r>
        <w:r w:rsidR="006D63E0" w:rsidRPr="006D63E0">
          <w:rPr>
            <w:noProof/>
            <w:webHidden/>
          </w:rPr>
        </w:r>
        <w:r w:rsidR="006D63E0" w:rsidRPr="006D63E0">
          <w:rPr>
            <w:noProof/>
            <w:webHidden/>
          </w:rPr>
          <w:fldChar w:fldCharType="separate"/>
        </w:r>
        <w:r w:rsidR="00BB479E">
          <w:rPr>
            <w:noProof/>
            <w:webHidden/>
          </w:rPr>
          <w:t>50</w:t>
        </w:r>
        <w:r w:rsidR="006D63E0" w:rsidRPr="006D63E0">
          <w:rPr>
            <w:noProof/>
            <w:webHidden/>
          </w:rPr>
          <w:fldChar w:fldCharType="end"/>
        </w:r>
      </w:hyperlink>
    </w:p>
    <w:p w14:paraId="7BFBB3D2" w14:textId="335AFEFF"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44" w:history="1">
        <w:r w:rsidR="006D63E0" w:rsidRPr="006D63E0">
          <w:rPr>
            <w:rStyle w:val="Hyperlink"/>
            <w:noProof/>
          </w:rPr>
          <w:t>Table 9:</w:t>
        </w:r>
        <w:r w:rsidR="006D63E0">
          <w:rPr>
            <w:rFonts w:asciiTheme="minorHAnsi" w:hAnsiTheme="minorHAnsi" w:cstheme="minorBidi"/>
            <w:noProof/>
            <w:sz w:val="22"/>
            <w:szCs w:val="22"/>
            <w:lang w:eastAsia="en-AU"/>
          </w:rPr>
          <w:t xml:space="preserve">   </w:t>
        </w:r>
        <w:r w:rsidR="006D63E0" w:rsidRPr="006D63E0">
          <w:rPr>
            <w:rStyle w:val="Hyperlink"/>
            <w:noProof/>
          </w:rPr>
          <w:t>Areas with relatively high proportion of social housing</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_Toc22120044 \h </w:instrText>
        </w:r>
        <w:r w:rsidR="006D63E0" w:rsidRPr="006D63E0">
          <w:rPr>
            <w:noProof/>
            <w:webHidden/>
          </w:rPr>
        </w:r>
        <w:r w:rsidR="006D63E0" w:rsidRPr="006D63E0">
          <w:rPr>
            <w:noProof/>
            <w:webHidden/>
          </w:rPr>
          <w:fldChar w:fldCharType="separate"/>
        </w:r>
        <w:r w:rsidR="00BB479E">
          <w:rPr>
            <w:noProof/>
            <w:webHidden/>
          </w:rPr>
          <w:t>53</w:t>
        </w:r>
        <w:r w:rsidR="006D63E0" w:rsidRPr="006D63E0">
          <w:rPr>
            <w:noProof/>
            <w:webHidden/>
          </w:rPr>
          <w:fldChar w:fldCharType="end"/>
        </w:r>
      </w:hyperlink>
    </w:p>
    <w:p w14:paraId="022E75AE" w14:textId="136AD357"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45" w:history="1">
        <w:r w:rsidR="006D63E0" w:rsidRPr="006D63E0">
          <w:rPr>
            <w:rStyle w:val="Hyperlink"/>
            <w:noProof/>
          </w:rPr>
          <w:t>Table 10: Number of Households on Social Housing Waiting List - 2018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_Toc22120045 \h </w:instrText>
        </w:r>
        <w:r w:rsidR="006D63E0" w:rsidRPr="006D63E0">
          <w:rPr>
            <w:noProof/>
            <w:webHidden/>
          </w:rPr>
        </w:r>
        <w:r w:rsidR="006D63E0" w:rsidRPr="006D63E0">
          <w:rPr>
            <w:noProof/>
            <w:webHidden/>
          </w:rPr>
          <w:fldChar w:fldCharType="separate"/>
        </w:r>
        <w:r w:rsidR="00BB479E">
          <w:rPr>
            <w:noProof/>
            <w:webHidden/>
          </w:rPr>
          <w:t>53</w:t>
        </w:r>
        <w:r w:rsidR="006D63E0" w:rsidRPr="006D63E0">
          <w:rPr>
            <w:noProof/>
            <w:webHidden/>
          </w:rPr>
          <w:fldChar w:fldCharType="end"/>
        </w:r>
      </w:hyperlink>
    </w:p>
    <w:p w14:paraId="4B654763" w14:textId="4FD08348"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46" w:history="1">
        <w:r w:rsidR="006D63E0" w:rsidRPr="006D63E0">
          <w:rPr>
            <w:rStyle w:val="Hyperlink"/>
            <w:noProof/>
          </w:rPr>
          <w:t>Table 11: Number of Households on the Office of Housing Transition List December - 2018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_Toc22120046 \h </w:instrText>
        </w:r>
        <w:r w:rsidR="006D63E0" w:rsidRPr="006D63E0">
          <w:rPr>
            <w:noProof/>
            <w:webHidden/>
          </w:rPr>
        </w:r>
        <w:r w:rsidR="006D63E0" w:rsidRPr="006D63E0">
          <w:rPr>
            <w:noProof/>
            <w:webHidden/>
          </w:rPr>
          <w:fldChar w:fldCharType="separate"/>
        </w:r>
        <w:r w:rsidR="00BB479E">
          <w:rPr>
            <w:noProof/>
            <w:webHidden/>
          </w:rPr>
          <w:t>53</w:t>
        </w:r>
        <w:r w:rsidR="006D63E0" w:rsidRPr="006D63E0">
          <w:rPr>
            <w:noProof/>
            <w:webHidden/>
          </w:rPr>
          <w:fldChar w:fldCharType="end"/>
        </w:r>
      </w:hyperlink>
    </w:p>
    <w:p w14:paraId="07707D22" w14:textId="4F4C0495"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47" w:history="1">
        <w:r w:rsidR="006D63E0" w:rsidRPr="006D63E0">
          <w:rPr>
            <w:rStyle w:val="Hyperlink"/>
            <w:noProof/>
          </w:rPr>
          <w:t>Table 12: Estimated Demand for Social Housing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_Toc22120047 \h </w:instrText>
        </w:r>
        <w:r w:rsidR="006D63E0" w:rsidRPr="006D63E0">
          <w:rPr>
            <w:noProof/>
            <w:webHidden/>
          </w:rPr>
        </w:r>
        <w:r w:rsidR="006D63E0" w:rsidRPr="006D63E0">
          <w:rPr>
            <w:noProof/>
            <w:webHidden/>
          </w:rPr>
          <w:fldChar w:fldCharType="separate"/>
        </w:r>
        <w:r w:rsidR="00BB479E">
          <w:rPr>
            <w:noProof/>
            <w:webHidden/>
          </w:rPr>
          <w:t>54</w:t>
        </w:r>
        <w:r w:rsidR="006D63E0" w:rsidRPr="006D63E0">
          <w:rPr>
            <w:noProof/>
            <w:webHidden/>
          </w:rPr>
          <w:fldChar w:fldCharType="end"/>
        </w:r>
      </w:hyperlink>
    </w:p>
    <w:p w14:paraId="017D3581" w14:textId="0CF43CA6"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48" w:history="1">
        <w:r w:rsidR="006D63E0" w:rsidRPr="006D63E0">
          <w:rPr>
            <w:rStyle w:val="Hyperlink"/>
            <w:noProof/>
          </w:rPr>
          <w:t>Table 13: Type of households experiencing rental stress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_Toc22120048 \h </w:instrText>
        </w:r>
        <w:r w:rsidR="006D63E0" w:rsidRPr="006D63E0">
          <w:rPr>
            <w:noProof/>
            <w:webHidden/>
          </w:rPr>
        </w:r>
        <w:r w:rsidR="006D63E0" w:rsidRPr="006D63E0">
          <w:rPr>
            <w:noProof/>
            <w:webHidden/>
          </w:rPr>
          <w:fldChar w:fldCharType="separate"/>
        </w:r>
        <w:r w:rsidR="00BB479E">
          <w:rPr>
            <w:noProof/>
            <w:webHidden/>
          </w:rPr>
          <w:t>55</w:t>
        </w:r>
        <w:r w:rsidR="006D63E0" w:rsidRPr="006D63E0">
          <w:rPr>
            <w:noProof/>
            <w:webHidden/>
          </w:rPr>
          <w:fldChar w:fldCharType="end"/>
        </w:r>
      </w:hyperlink>
    </w:p>
    <w:p w14:paraId="3B7A5986" w14:textId="4CE8BF5C"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49" w:history="1">
        <w:r w:rsidR="006D63E0" w:rsidRPr="006D63E0">
          <w:rPr>
            <w:rStyle w:val="Hyperlink"/>
            <w:noProof/>
          </w:rPr>
          <w:t>Table 14: Groups experiencing rental stress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_Toc22120049 \h </w:instrText>
        </w:r>
        <w:r w:rsidR="006D63E0" w:rsidRPr="006D63E0">
          <w:rPr>
            <w:noProof/>
            <w:webHidden/>
          </w:rPr>
        </w:r>
        <w:r w:rsidR="006D63E0" w:rsidRPr="006D63E0">
          <w:rPr>
            <w:noProof/>
            <w:webHidden/>
          </w:rPr>
          <w:fldChar w:fldCharType="separate"/>
        </w:r>
        <w:r w:rsidR="00BB479E">
          <w:rPr>
            <w:noProof/>
            <w:webHidden/>
          </w:rPr>
          <w:t>55</w:t>
        </w:r>
        <w:r w:rsidR="006D63E0" w:rsidRPr="006D63E0">
          <w:rPr>
            <w:noProof/>
            <w:webHidden/>
          </w:rPr>
          <w:fldChar w:fldCharType="end"/>
        </w:r>
      </w:hyperlink>
    </w:p>
    <w:p w14:paraId="5FC94458" w14:textId="22F03068"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0" w:history="1">
        <w:r w:rsidR="006D63E0" w:rsidRPr="006D63E0">
          <w:rPr>
            <w:rStyle w:val="Hyperlink"/>
            <w:noProof/>
          </w:rPr>
          <w:t>Table 15: Projected population, households and dwellings - 2016 to 2041</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_Toc22120050 \h </w:instrText>
        </w:r>
        <w:r w:rsidR="006D63E0" w:rsidRPr="006D63E0">
          <w:rPr>
            <w:noProof/>
            <w:webHidden/>
          </w:rPr>
        </w:r>
        <w:r w:rsidR="006D63E0" w:rsidRPr="006D63E0">
          <w:rPr>
            <w:noProof/>
            <w:webHidden/>
          </w:rPr>
          <w:fldChar w:fldCharType="separate"/>
        </w:r>
        <w:r w:rsidR="00BB479E">
          <w:rPr>
            <w:noProof/>
            <w:webHidden/>
          </w:rPr>
          <w:t>57</w:t>
        </w:r>
        <w:r w:rsidR="006D63E0" w:rsidRPr="006D63E0">
          <w:rPr>
            <w:noProof/>
            <w:webHidden/>
          </w:rPr>
          <w:fldChar w:fldCharType="end"/>
        </w:r>
      </w:hyperlink>
    </w:p>
    <w:p w14:paraId="474FC108" w14:textId="3D5ABB0F"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1" w:history="1">
        <w:r w:rsidR="006D63E0" w:rsidRPr="006D63E0">
          <w:rPr>
            <w:rStyle w:val="Hyperlink"/>
            <w:noProof/>
          </w:rPr>
          <w:t>Table 16: Public Housing in the Barwon Region, and Geelong LGA, 2017/18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_Toc22120051 \h </w:instrText>
        </w:r>
        <w:r w:rsidR="006D63E0" w:rsidRPr="006D63E0">
          <w:rPr>
            <w:noProof/>
            <w:webHidden/>
          </w:rPr>
        </w:r>
        <w:r w:rsidR="006D63E0" w:rsidRPr="006D63E0">
          <w:rPr>
            <w:noProof/>
            <w:webHidden/>
          </w:rPr>
          <w:fldChar w:fldCharType="separate"/>
        </w:r>
        <w:r w:rsidR="00BB479E">
          <w:rPr>
            <w:noProof/>
            <w:webHidden/>
          </w:rPr>
          <w:t>59</w:t>
        </w:r>
        <w:r w:rsidR="006D63E0" w:rsidRPr="006D63E0">
          <w:rPr>
            <w:noProof/>
            <w:webHidden/>
          </w:rPr>
          <w:fldChar w:fldCharType="end"/>
        </w:r>
      </w:hyperlink>
    </w:p>
    <w:p w14:paraId="59AD1A4F" w14:textId="577C743F"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2" w:history="1">
        <w:r w:rsidR="006D63E0" w:rsidRPr="006D63E0">
          <w:rPr>
            <w:rStyle w:val="Hyperlink"/>
            <w:noProof/>
          </w:rPr>
          <w:t>Table 17: Registered Housing Agencies Currently Operating in Geelong</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_Toc22120052 \h </w:instrText>
        </w:r>
        <w:r w:rsidR="006D63E0" w:rsidRPr="006D63E0">
          <w:rPr>
            <w:noProof/>
            <w:webHidden/>
          </w:rPr>
        </w:r>
        <w:r w:rsidR="006D63E0" w:rsidRPr="006D63E0">
          <w:rPr>
            <w:noProof/>
            <w:webHidden/>
          </w:rPr>
          <w:fldChar w:fldCharType="separate"/>
        </w:r>
        <w:r w:rsidR="00BB479E">
          <w:rPr>
            <w:noProof/>
            <w:webHidden/>
          </w:rPr>
          <w:t>61</w:t>
        </w:r>
        <w:r w:rsidR="006D63E0" w:rsidRPr="006D63E0">
          <w:rPr>
            <w:noProof/>
            <w:webHidden/>
          </w:rPr>
          <w:fldChar w:fldCharType="end"/>
        </w:r>
      </w:hyperlink>
    </w:p>
    <w:p w14:paraId="60D730B3" w14:textId="6341BD15"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3" w:history="1">
        <w:r w:rsidR="006D63E0" w:rsidRPr="006D63E0">
          <w:rPr>
            <w:rStyle w:val="Hyperlink"/>
            <w:noProof/>
          </w:rPr>
          <w:t>Table 18: Major land supply stocks as of January 2017</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_Toc22120053 \h </w:instrText>
        </w:r>
        <w:r w:rsidR="006D63E0" w:rsidRPr="006D63E0">
          <w:rPr>
            <w:noProof/>
            <w:webHidden/>
          </w:rPr>
        </w:r>
        <w:r w:rsidR="006D63E0" w:rsidRPr="006D63E0">
          <w:rPr>
            <w:noProof/>
            <w:webHidden/>
          </w:rPr>
          <w:fldChar w:fldCharType="separate"/>
        </w:r>
        <w:r w:rsidR="00BB479E">
          <w:rPr>
            <w:noProof/>
            <w:webHidden/>
          </w:rPr>
          <w:t>70</w:t>
        </w:r>
        <w:r w:rsidR="006D63E0" w:rsidRPr="006D63E0">
          <w:rPr>
            <w:noProof/>
            <w:webHidden/>
          </w:rPr>
          <w:fldChar w:fldCharType="end"/>
        </w:r>
      </w:hyperlink>
    </w:p>
    <w:p w14:paraId="3A74215D" w14:textId="49C0D756"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4" w:history="1">
        <w:r w:rsidR="006D63E0" w:rsidRPr="006D63E0">
          <w:rPr>
            <w:rStyle w:val="Hyperlink"/>
            <w:noProof/>
          </w:rPr>
          <w:t xml:space="preserve">Table 19: </w:t>
        </w:r>
        <w:r w:rsidR="006D63E0" w:rsidRPr="006D63E0">
          <w:rPr>
            <w:rStyle w:val="Hyperlink"/>
            <w:noProof/>
            <w:lang w:val="en-US"/>
          </w:rPr>
          <w:t>Estimated social housing supply gap and supply requirements 2016 - 2041</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_Toc22120054 \h </w:instrText>
        </w:r>
        <w:r w:rsidR="006D63E0" w:rsidRPr="006D63E0">
          <w:rPr>
            <w:noProof/>
            <w:webHidden/>
          </w:rPr>
        </w:r>
        <w:r w:rsidR="006D63E0" w:rsidRPr="006D63E0">
          <w:rPr>
            <w:noProof/>
            <w:webHidden/>
          </w:rPr>
          <w:fldChar w:fldCharType="separate"/>
        </w:r>
        <w:r w:rsidR="00BB479E">
          <w:rPr>
            <w:noProof/>
            <w:webHidden/>
          </w:rPr>
          <w:t>71</w:t>
        </w:r>
        <w:r w:rsidR="006D63E0" w:rsidRPr="006D63E0">
          <w:rPr>
            <w:noProof/>
            <w:webHidden/>
          </w:rPr>
          <w:fldChar w:fldCharType="end"/>
        </w:r>
      </w:hyperlink>
    </w:p>
    <w:p w14:paraId="1430BA90" w14:textId="73F20270"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5" w:history="1">
        <w:r w:rsidR="006D63E0" w:rsidRPr="006D63E0">
          <w:rPr>
            <w:rStyle w:val="Hyperlink"/>
            <w:noProof/>
          </w:rPr>
          <w:t>Table 20: Policy Context</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_Toc22120055 \h </w:instrText>
        </w:r>
        <w:r w:rsidR="006D63E0" w:rsidRPr="006D63E0">
          <w:rPr>
            <w:noProof/>
            <w:webHidden/>
          </w:rPr>
        </w:r>
        <w:r w:rsidR="006D63E0" w:rsidRPr="006D63E0">
          <w:rPr>
            <w:noProof/>
            <w:webHidden/>
          </w:rPr>
          <w:fldChar w:fldCharType="separate"/>
        </w:r>
        <w:r w:rsidR="00BB479E">
          <w:rPr>
            <w:noProof/>
            <w:webHidden/>
          </w:rPr>
          <w:t>75</w:t>
        </w:r>
        <w:r w:rsidR="006D63E0" w:rsidRPr="006D63E0">
          <w:rPr>
            <w:noProof/>
            <w:webHidden/>
          </w:rPr>
          <w:fldChar w:fldCharType="end"/>
        </w:r>
      </w:hyperlink>
    </w:p>
    <w:p w14:paraId="2C71EE9F" w14:textId="12877E14"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6" w:history="1">
        <w:r w:rsidR="006D63E0" w:rsidRPr="006D63E0">
          <w:rPr>
            <w:rStyle w:val="Hyperlink"/>
            <w:noProof/>
          </w:rPr>
          <w:t>Table 21: Key Terms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_Toc22120056 \h </w:instrText>
        </w:r>
        <w:r w:rsidR="006D63E0" w:rsidRPr="006D63E0">
          <w:rPr>
            <w:noProof/>
            <w:webHidden/>
          </w:rPr>
        </w:r>
        <w:r w:rsidR="006D63E0" w:rsidRPr="006D63E0">
          <w:rPr>
            <w:noProof/>
            <w:webHidden/>
          </w:rPr>
          <w:fldChar w:fldCharType="separate"/>
        </w:r>
        <w:r w:rsidR="00BB479E">
          <w:rPr>
            <w:noProof/>
            <w:webHidden/>
          </w:rPr>
          <w:t>84</w:t>
        </w:r>
        <w:r w:rsidR="006D63E0" w:rsidRPr="006D63E0">
          <w:rPr>
            <w:noProof/>
            <w:webHidden/>
          </w:rPr>
          <w:fldChar w:fldCharType="end"/>
        </w:r>
      </w:hyperlink>
    </w:p>
    <w:p w14:paraId="29DC081B" w14:textId="5CFE282F"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7" w:history="1">
        <w:r w:rsidR="006D63E0" w:rsidRPr="006D63E0">
          <w:rPr>
            <w:rStyle w:val="Hyperlink"/>
            <w:noProof/>
          </w:rPr>
          <w:t>Table 22: Who Did We Consult? Stakeholder Definitions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_Toc22120057 \h </w:instrText>
        </w:r>
        <w:r w:rsidR="006D63E0" w:rsidRPr="006D63E0">
          <w:rPr>
            <w:noProof/>
            <w:webHidden/>
          </w:rPr>
        </w:r>
        <w:r w:rsidR="006D63E0" w:rsidRPr="006D63E0">
          <w:rPr>
            <w:noProof/>
            <w:webHidden/>
          </w:rPr>
          <w:fldChar w:fldCharType="separate"/>
        </w:r>
        <w:r w:rsidR="00BB479E">
          <w:rPr>
            <w:noProof/>
            <w:webHidden/>
          </w:rPr>
          <w:t>87</w:t>
        </w:r>
        <w:r w:rsidR="006D63E0" w:rsidRPr="006D63E0">
          <w:rPr>
            <w:noProof/>
            <w:webHidden/>
          </w:rPr>
          <w:fldChar w:fldCharType="end"/>
        </w:r>
      </w:hyperlink>
    </w:p>
    <w:p w14:paraId="792FAC14" w14:textId="642920BF"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8" w:history="1">
        <w:r w:rsidR="006D63E0" w:rsidRPr="006D63E0">
          <w:rPr>
            <w:rStyle w:val="Hyperlink"/>
            <w:noProof/>
          </w:rPr>
          <w:t>Table 23: Stakeholder Organisations Engaged in Project</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_Toc22120058 \h </w:instrText>
        </w:r>
        <w:r w:rsidR="006D63E0" w:rsidRPr="006D63E0">
          <w:rPr>
            <w:noProof/>
            <w:webHidden/>
          </w:rPr>
        </w:r>
        <w:r w:rsidR="006D63E0" w:rsidRPr="006D63E0">
          <w:rPr>
            <w:noProof/>
            <w:webHidden/>
          </w:rPr>
          <w:fldChar w:fldCharType="separate"/>
        </w:r>
        <w:r w:rsidR="00BB479E">
          <w:rPr>
            <w:noProof/>
            <w:webHidden/>
          </w:rPr>
          <w:t>88</w:t>
        </w:r>
        <w:r w:rsidR="006D63E0" w:rsidRPr="006D63E0">
          <w:rPr>
            <w:noProof/>
            <w:webHidden/>
          </w:rPr>
          <w:fldChar w:fldCharType="end"/>
        </w:r>
      </w:hyperlink>
    </w:p>
    <w:p w14:paraId="34E964EA" w14:textId="061728EE"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59" w:history="1">
        <w:r w:rsidR="006D63E0" w:rsidRPr="006D63E0">
          <w:rPr>
            <w:rStyle w:val="Hyperlink"/>
            <w:noProof/>
          </w:rPr>
          <w:t>Table 24: Policy Context - Key Issues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_Toc22120059 \h </w:instrText>
        </w:r>
        <w:r w:rsidR="006D63E0" w:rsidRPr="006D63E0">
          <w:rPr>
            <w:noProof/>
            <w:webHidden/>
          </w:rPr>
        </w:r>
        <w:r w:rsidR="006D63E0" w:rsidRPr="006D63E0">
          <w:rPr>
            <w:noProof/>
            <w:webHidden/>
          </w:rPr>
          <w:fldChar w:fldCharType="separate"/>
        </w:r>
        <w:r w:rsidR="00BB479E">
          <w:rPr>
            <w:noProof/>
            <w:webHidden/>
          </w:rPr>
          <w:t>89</w:t>
        </w:r>
        <w:r w:rsidR="006D63E0" w:rsidRPr="006D63E0">
          <w:rPr>
            <w:noProof/>
            <w:webHidden/>
          </w:rPr>
          <w:fldChar w:fldCharType="end"/>
        </w:r>
      </w:hyperlink>
    </w:p>
    <w:p w14:paraId="33891029" w14:textId="0DA6464B" w:rsidR="00B764FC" w:rsidRDefault="00FF5CA4">
      <w:pPr>
        <w:tabs>
          <w:tab w:val="left" w:pos="993"/>
        </w:tabs>
        <w:spacing w:line="276" w:lineRule="auto"/>
        <w:ind w:left="993" w:firstLine="425"/>
        <w:jc w:val="both"/>
        <w:rPr>
          <w:sz w:val="22"/>
          <w:szCs w:val="22"/>
        </w:rPr>
      </w:pPr>
      <w:r w:rsidRPr="006D63E0">
        <w:rPr>
          <w:sz w:val="16"/>
          <w:szCs w:val="16"/>
        </w:rPr>
        <w:fldChar w:fldCharType="end"/>
      </w:r>
    </w:p>
    <w:p w14:paraId="2C3DD1BB" w14:textId="77777777" w:rsidR="00B764FC" w:rsidRDefault="00B764FC">
      <w:pPr>
        <w:tabs>
          <w:tab w:val="left" w:pos="993"/>
        </w:tabs>
        <w:spacing w:line="276" w:lineRule="auto"/>
        <w:ind w:left="1418" w:hanging="425"/>
        <w:jc w:val="both"/>
        <w:rPr>
          <w:sz w:val="22"/>
          <w:szCs w:val="22"/>
        </w:rPr>
      </w:pPr>
    </w:p>
    <w:p w14:paraId="5AA3CECB" w14:textId="77777777" w:rsidR="00B764FC" w:rsidRDefault="00B764FC">
      <w:pPr>
        <w:rPr>
          <w:b/>
          <w:bCs/>
          <w:sz w:val="22"/>
          <w:szCs w:val="22"/>
        </w:rPr>
      </w:pPr>
      <w:r>
        <w:rPr>
          <w:b/>
          <w:bCs/>
          <w:sz w:val="22"/>
          <w:szCs w:val="22"/>
        </w:rPr>
        <w:br w:type="page"/>
      </w:r>
    </w:p>
    <w:p w14:paraId="5941361C" w14:textId="77777777" w:rsidR="00B764FC" w:rsidRDefault="00B764FC">
      <w:pPr>
        <w:tabs>
          <w:tab w:val="left" w:pos="993"/>
        </w:tabs>
        <w:spacing w:line="276" w:lineRule="auto"/>
        <w:jc w:val="both"/>
        <w:rPr>
          <w:b/>
          <w:bCs/>
          <w:sz w:val="22"/>
          <w:szCs w:val="22"/>
        </w:rPr>
      </w:pPr>
      <w:r>
        <w:rPr>
          <w:b/>
          <w:bCs/>
          <w:sz w:val="22"/>
          <w:szCs w:val="22"/>
        </w:rPr>
        <w:lastRenderedPageBreak/>
        <w:t>List of Figures</w:t>
      </w:r>
    </w:p>
    <w:p w14:paraId="35C5AD62" w14:textId="77777777" w:rsidR="00B764FC" w:rsidRDefault="00B764FC">
      <w:pPr>
        <w:tabs>
          <w:tab w:val="left" w:pos="993"/>
        </w:tabs>
        <w:spacing w:line="276" w:lineRule="auto"/>
        <w:ind w:left="1418" w:hanging="425"/>
        <w:jc w:val="both"/>
        <w:rPr>
          <w:sz w:val="22"/>
          <w:szCs w:val="22"/>
        </w:rPr>
      </w:pPr>
    </w:p>
    <w:p w14:paraId="1685DD09" w14:textId="62DC7322" w:rsidR="006D63E0" w:rsidRPr="006D63E0" w:rsidRDefault="00FF5CA4">
      <w:pPr>
        <w:pStyle w:val="TableofFigures"/>
        <w:tabs>
          <w:tab w:val="right" w:leader="dot" w:pos="9204"/>
        </w:tabs>
        <w:rPr>
          <w:rFonts w:asciiTheme="minorHAnsi" w:hAnsiTheme="minorHAnsi" w:cstheme="minorBidi"/>
          <w:noProof/>
          <w:sz w:val="22"/>
          <w:szCs w:val="22"/>
          <w:lang w:eastAsia="en-AU"/>
        </w:rPr>
      </w:pPr>
      <w:r w:rsidRPr="006D63E0">
        <w:rPr>
          <w:sz w:val="16"/>
          <w:szCs w:val="16"/>
        </w:rPr>
        <w:fldChar w:fldCharType="begin"/>
      </w:r>
      <w:r w:rsidR="00B764FC" w:rsidRPr="006D63E0">
        <w:rPr>
          <w:sz w:val="16"/>
          <w:szCs w:val="16"/>
        </w:rPr>
        <w:instrText xml:space="preserve"> TOC \h \z \c "Figure" </w:instrText>
      </w:r>
      <w:r w:rsidRPr="006D63E0">
        <w:rPr>
          <w:sz w:val="16"/>
          <w:szCs w:val="16"/>
        </w:rPr>
        <w:fldChar w:fldCharType="separate"/>
      </w:r>
      <w:hyperlink r:id="rId10" w:anchor="_Toc22120088" w:history="1">
        <w:r w:rsidR="006D63E0" w:rsidRPr="006D63E0">
          <w:rPr>
            <w:rStyle w:val="Hyperlink"/>
            <w:noProof/>
          </w:rPr>
          <w:t>Figure 1: Affordable, Social and Public Housing - Definitions</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_Toc22120088 \h </w:instrText>
        </w:r>
        <w:r w:rsidR="006D63E0" w:rsidRPr="006D63E0">
          <w:rPr>
            <w:noProof/>
            <w:webHidden/>
          </w:rPr>
        </w:r>
        <w:r w:rsidR="006D63E0" w:rsidRPr="006D63E0">
          <w:rPr>
            <w:noProof/>
            <w:webHidden/>
          </w:rPr>
          <w:fldChar w:fldCharType="separate"/>
        </w:r>
        <w:r w:rsidR="00BB479E">
          <w:rPr>
            <w:noProof/>
            <w:webHidden/>
          </w:rPr>
          <w:t>27</w:t>
        </w:r>
        <w:r w:rsidR="006D63E0" w:rsidRPr="006D63E0">
          <w:rPr>
            <w:noProof/>
            <w:webHidden/>
          </w:rPr>
          <w:fldChar w:fldCharType="end"/>
        </w:r>
      </w:hyperlink>
    </w:p>
    <w:p w14:paraId="287D5E70" w14:textId="49D283D5"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89" w:history="1">
        <w:r w:rsidR="006D63E0" w:rsidRPr="006D63E0">
          <w:rPr>
            <w:rStyle w:val="Hyperlink"/>
            <w:noProof/>
          </w:rPr>
          <w:t>Figure 2: Median Rents – 2011 - 2016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_Toc22120089 \h </w:instrText>
        </w:r>
        <w:r w:rsidR="006D63E0" w:rsidRPr="006D63E0">
          <w:rPr>
            <w:noProof/>
            <w:webHidden/>
          </w:rPr>
        </w:r>
        <w:r w:rsidR="006D63E0" w:rsidRPr="006D63E0">
          <w:rPr>
            <w:noProof/>
            <w:webHidden/>
          </w:rPr>
          <w:fldChar w:fldCharType="separate"/>
        </w:r>
        <w:r w:rsidR="00BB479E">
          <w:rPr>
            <w:noProof/>
            <w:webHidden/>
          </w:rPr>
          <w:t>42</w:t>
        </w:r>
        <w:r w:rsidR="006D63E0" w:rsidRPr="006D63E0">
          <w:rPr>
            <w:noProof/>
            <w:webHidden/>
          </w:rPr>
          <w:fldChar w:fldCharType="end"/>
        </w:r>
      </w:hyperlink>
    </w:p>
    <w:p w14:paraId="6C9CC30E" w14:textId="3CC7AB54"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0" w:history="1">
        <w:r w:rsidR="006D63E0" w:rsidRPr="006D63E0">
          <w:rPr>
            <w:rStyle w:val="Hyperlink"/>
            <w:noProof/>
          </w:rPr>
          <w:t>Figure 3: Median Rents – 2011 - 2016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_Toc22120090 \h </w:instrText>
        </w:r>
        <w:r w:rsidR="006D63E0" w:rsidRPr="006D63E0">
          <w:rPr>
            <w:noProof/>
            <w:webHidden/>
          </w:rPr>
        </w:r>
        <w:r w:rsidR="006D63E0" w:rsidRPr="006D63E0">
          <w:rPr>
            <w:noProof/>
            <w:webHidden/>
          </w:rPr>
          <w:fldChar w:fldCharType="separate"/>
        </w:r>
        <w:r w:rsidR="00BB479E">
          <w:rPr>
            <w:noProof/>
            <w:webHidden/>
          </w:rPr>
          <w:t>44</w:t>
        </w:r>
        <w:r w:rsidR="006D63E0" w:rsidRPr="006D63E0">
          <w:rPr>
            <w:noProof/>
            <w:webHidden/>
          </w:rPr>
          <w:fldChar w:fldCharType="end"/>
        </w:r>
      </w:hyperlink>
    </w:p>
    <w:p w14:paraId="54F3DE28" w14:textId="6F643A18"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1" w:history="1">
        <w:r w:rsidR="006D63E0" w:rsidRPr="006D63E0">
          <w:rPr>
            <w:rStyle w:val="Hyperlink"/>
            <w:noProof/>
          </w:rPr>
          <w:t>Figure 4: Median Rental Payments 2000 - 2018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_Toc22120091 \h </w:instrText>
        </w:r>
        <w:r w:rsidR="006D63E0" w:rsidRPr="006D63E0">
          <w:rPr>
            <w:noProof/>
            <w:webHidden/>
          </w:rPr>
        </w:r>
        <w:r w:rsidR="006D63E0" w:rsidRPr="006D63E0">
          <w:rPr>
            <w:noProof/>
            <w:webHidden/>
          </w:rPr>
          <w:fldChar w:fldCharType="separate"/>
        </w:r>
        <w:r w:rsidR="00BB479E">
          <w:rPr>
            <w:noProof/>
            <w:webHidden/>
          </w:rPr>
          <w:t>45</w:t>
        </w:r>
        <w:r w:rsidR="006D63E0" w:rsidRPr="006D63E0">
          <w:rPr>
            <w:noProof/>
            <w:webHidden/>
          </w:rPr>
          <w:fldChar w:fldCharType="end"/>
        </w:r>
      </w:hyperlink>
    </w:p>
    <w:p w14:paraId="2A9E77EE" w14:textId="1CEFA3A9"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r:id="rId11" w:anchor="_Toc22120092" w:history="1">
        <w:r w:rsidR="006D63E0" w:rsidRPr="006D63E0">
          <w:rPr>
            <w:rStyle w:val="Hyperlink"/>
            <w:noProof/>
          </w:rPr>
          <w:t xml:space="preserve">Figure 5: </w:t>
        </w:r>
        <w:r w:rsidR="006D63E0" w:rsidRPr="006D63E0">
          <w:rPr>
            <w:rStyle w:val="Hyperlink"/>
            <w:noProof/>
            <w:lang w:val="en-US"/>
          </w:rPr>
          <w:t>Median prices of houses, apartments, vacant house blocks - ($) 2000 - 2018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_Toc22120092 \h </w:instrText>
        </w:r>
        <w:r w:rsidR="006D63E0" w:rsidRPr="006D63E0">
          <w:rPr>
            <w:noProof/>
            <w:webHidden/>
          </w:rPr>
        </w:r>
        <w:r w:rsidR="006D63E0" w:rsidRPr="006D63E0">
          <w:rPr>
            <w:noProof/>
            <w:webHidden/>
          </w:rPr>
          <w:fldChar w:fldCharType="separate"/>
        </w:r>
        <w:r w:rsidR="00BB479E">
          <w:rPr>
            <w:noProof/>
            <w:webHidden/>
          </w:rPr>
          <w:t>46</w:t>
        </w:r>
        <w:r w:rsidR="006D63E0" w:rsidRPr="006D63E0">
          <w:rPr>
            <w:noProof/>
            <w:webHidden/>
          </w:rPr>
          <w:fldChar w:fldCharType="end"/>
        </w:r>
      </w:hyperlink>
    </w:p>
    <w:p w14:paraId="1C6B9F4F" w14:textId="6245AD4C"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3" w:history="1">
        <w:r w:rsidR="006D63E0" w:rsidRPr="006D63E0">
          <w:rPr>
            <w:rStyle w:val="Hyperlink"/>
            <w:noProof/>
          </w:rPr>
          <w:t>Figure 6: Median Dwelling Purchase Price – 2000 - 2018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_Toc22120093 \h </w:instrText>
        </w:r>
        <w:r w:rsidR="006D63E0" w:rsidRPr="006D63E0">
          <w:rPr>
            <w:noProof/>
            <w:webHidden/>
          </w:rPr>
        </w:r>
        <w:r w:rsidR="006D63E0" w:rsidRPr="006D63E0">
          <w:rPr>
            <w:noProof/>
            <w:webHidden/>
          </w:rPr>
          <w:fldChar w:fldCharType="separate"/>
        </w:r>
        <w:r w:rsidR="00BB479E">
          <w:rPr>
            <w:noProof/>
            <w:webHidden/>
          </w:rPr>
          <w:t>46</w:t>
        </w:r>
        <w:r w:rsidR="006D63E0" w:rsidRPr="006D63E0">
          <w:rPr>
            <w:noProof/>
            <w:webHidden/>
          </w:rPr>
          <w:fldChar w:fldCharType="end"/>
        </w:r>
      </w:hyperlink>
    </w:p>
    <w:p w14:paraId="67CB55DD" w14:textId="3948415D"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4" w:history="1">
        <w:r w:rsidR="006D63E0" w:rsidRPr="006D63E0">
          <w:rPr>
            <w:rStyle w:val="Hyperlink"/>
            <w:noProof/>
          </w:rPr>
          <w:t>Figure 7: Households in Rental and Mortgage Stress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_Toc22120094 \h </w:instrText>
        </w:r>
        <w:r w:rsidR="006D63E0" w:rsidRPr="006D63E0">
          <w:rPr>
            <w:noProof/>
            <w:webHidden/>
          </w:rPr>
        </w:r>
        <w:r w:rsidR="006D63E0" w:rsidRPr="006D63E0">
          <w:rPr>
            <w:noProof/>
            <w:webHidden/>
          </w:rPr>
          <w:fldChar w:fldCharType="separate"/>
        </w:r>
        <w:r w:rsidR="00BB479E">
          <w:rPr>
            <w:noProof/>
            <w:webHidden/>
          </w:rPr>
          <w:t>48</w:t>
        </w:r>
        <w:r w:rsidR="006D63E0" w:rsidRPr="006D63E0">
          <w:rPr>
            <w:noProof/>
            <w:webHidden/>
          </w:rPr>
          <w:fldChar w:fldCharType="end"/>
        </w:r>
      </w:hyperlink>
    </w:p>
    <w:p w14:paraId="7EA9FA04" w14:textId="3C2EF3AA"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5" w:history="1">
        <w:r w:rsidR="006D63E0" w:rsidRPr="006D63E0">
          <w:rPr>
            <w:rStyle w:val="Hyperlink"/>
            <w:noProof/>
          </w:rPr>
          <w:t>Figure 8: Households Experiencing Rental Stress – Percentage change 2011 - 2016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_Toc22120095 \h </w:instrText>
        </w:r>
        <w:r w:rsidR="006D63E0" w:rsidRPr="006D63E0">
          <w:rPr>
            <w:noProof/>
            <w:webHidden/>
          </w:rPr>
        </w:r>
        <w:r w:rsidR="006D63E0" w:rsidRPr="006D63E0">
          <w:rPr>
            <w:noProof/>
            <w:webHidden/>
          </w:rPr>
          <w:fldChar w:fldCharType="separate"/>
        </w:r>
        <w:r w:rsidR="00BB479E">
          <w:rPr>
            <w:noProof/>
            <w:webHidden/>
          </w:rPr>
          <w:t>49</w:t>
        </w:r>
        <w:r w:rsidR="006D63E0" w:rsidRPr="006D63E0">
          <w:rPr>
            <w:noProof/>
            <w:webHidden/>
          </w:rPr>
          <w:fldChar w:fldCharType="end"/>
        </w:r>
      </w:hyperlink>
    </w:p>
    <w:p w14:paraId="59E95986" w14:textId="5C9D942C" w:rsidR="006D63E0" w:rsidRPr="006D63E0" w:rsidRDefault="00515EE9">
      <w:pPr>
        <w:pStyle w:val="TableofFigures"/>
        <w:tabs>
          <w:tab w:val="left" w:pos="1200"/>
          <w:tab w:val="right" w:leader="dot" w:pos="9204"/>
        </w:tabs>
        <w:rPr>
          <w:rFonts w:asciiTheme="minorHAnsi" w:hAnsiTheme="minorHAnsi" w:cstheme="minorBidi"/>
          <w:noProof/>
          <w:sz w:val="22"/>
          <w:szCs w:val="22"/>
          <w:lang w:eastAsia="en-AU"/>
        </w:rPr>
      </w:pPr>
      <w:hyperlink w:anchor="_Toc22120096" w:history="1">
        <w:r w:rsidR="006D63E0" w:rsidRPr="006D63E0">
          <w:rPr>
            <w:rStyle w:val="Hyperlink"/>
            <w:noProof/>
          </w:rPr>
          <w:t>Figure 9</w:t>
        </w:r>
        <w:r w:rsidR="006D63E0">
          <w:rPr>
            <w:rStyle w:val="Hyperlink"/>
            <w:noProof/>
          </w:rPr>
          <w:t xml:space="preserve">: </w:t>
        </w:r>
        <w:r w:rsidR="006D63E0" w:rsidRPr="006D63E0">
          <w:rPr>
            <w:rStyle w:val="Hyperlink"/>
            <w:noProof/>
          </w:rPr>
          <w:t>Number of Households Renting Social Housing - 2001 - 2016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_Toc22120096 \h </w:instrText>
        </w:r>
        <w:r w:rsidR="006D63E0" w:rsidRPr="006D63E0">
          <w:rPr>
            <w:noProof/>
            <w:webHidden/>
          </w:rPr>
        </w:r>
        <w:r w:rsidR="006D63E0" w:rsidRPr="006D63E0">
          <w:rPr>
            <w:noProof/>
            <w:webHidden/>
          </w:rPr>
          <w:fldChar w:fldCharType="separate"/>
        </w:r>
        <w:r w:rsidR="00BB479E">
          <w:rPr>
            <w:noProof/>
            <w:webHidden/>
          </w:rPr>
          <w:t>52</w:t>
        </w:r>
        <w:r w:rsidR="006D63E0" w:rsidRPr="006D63E0">
          <w:rPr>
            <w:noProof/>
            <w:webHidden/>
          </w:rPr>
          <w:fldChar w:fldCharType="end"/>
        </w:r>
      </w:hyperlink>
    </w:p>
    <w:p w14:paraId="681C3D13" w14:textId="4DF431D7"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7" w:history="1">
        <w:r w:rsidR="006D63E0" w:rsidRPr="006D63E0">
          <w:rPr>
            <w:rStyle w:val="Hyperlink"/>
            <w:noProof/>
          </w:rPr>
          <w:t>Figure 10: Housing Tenure - 2011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_Toc22120097 \h </w:instrText>
        </w:r>
        <w:r w:rsidR="006D63E0" w:rsidRPr="006D63E0">
          <w:rPr>
            <w:noProof/>
            <w:webHidden/>
          </w:rPr>
        </w:r>
        <w:r w:rsidR="006D63E0" w:rsidRPr="006D63E0">
          <w:rPr>
            <w:noProof/>
            <w:webHidden/>
          </w:rPr>
          <w:fldChar w:fldCharType="separate"/>
        </w:r>
        <w:r w:rsidR="00BB479E">
          <w:rPr>
            <w:noProof/>
            <w:webHidden/>
          </w:rPr>
          <w:t>52</w:t>
        </w:r>
        <w:r w:rsidR="006D63E0" w:rsidRPr="006D63E0">
          <w:rPr>
            <w:noProof/>
            <w:webHidden/>
          </w:rPr>
          <w:fldChar w:fldCharType="end"/>
        </w:r>
      </w:hyperlink>
    </w:p>
    <w:p w14:paraId="1E5FE21D" w14:textId="3964DFE9"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098" w:history="1">
        <w:r w:rsidR="006D63E0" w:rsidRPr="006D63E0">
          <w:rPr>
            <w:rStyle w:val="Hyperlink"/>
            <w:noProof/>
          </w:rPr>
          <w:t>Figure 11:Demand for social housing, by Area (based on 2016 data)</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_Toc22120098 \h </w:instrText>
        </w:r>
        <w:r w:rsidR="006D63E0" w:rsidRPr="006D63E0">
          <w:rPr>
            <w:noProof/>
            <w:webHidden/>
          </w:rPr>
        </w:r>
        <w:r w:rsidR="006D63E0" w:rsidRPr="006D63E0">
          <w:rPr>
            <w:noProof/>
            <w:webHidden/>
          </w:rPr>
          <w:fldChar w:fldCharType="separate"/>
        </w:r>
        <w:r w:rsidR="00BB479E">
          <w:rPr>
            <w:noProof/>
            <w:webHidden/>
          </w:rPr>
          <w:t>56</w:t>
        </w:r>
        <w:r w:rsidR="006D63E0" w:rsidRPr="006D63E0">
          <w:rPr>
            <w:noProof/>
            <w:webHidden/>
          </w:rPr>
          <w:fldChar w:fldCharType="end"/>
        </w:r>
      </w:hyperlink>
    </w:p>
    <w:p w14:paraId="5F722EB3" w14:textId="7C67B1B7"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r:id="rId12" w:anchor="_Toc22120099" w:history="1">
        <w:r w:rsidR="006D63E0" w:rsidRPr="006D63E0">
          <w:rPr>
            <w:rStyle w:val="Hyperlink"/>
            <w:noProof/>
          </w:rPr>
          <w:t>Figure 12: Estimated Demand for Social Housing as a Proportion of All Households –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_Toc22120099 \h </w:instrText>
        </w:r>
        <w:r w:rsidR="006D63E0" w:rsidRPr="006D63E0">
          <w:rPr>
            <w:noProof/>
            <w:webHidden/>
          </w:rPr>
        </w:r>
        <w:r w:rsidR="006D63E0" w:rsidRPr="006D63E0">
          <w:rPr>
            <w:noProof/>
            <w:webHidden/>
          </w:rPr>
          <w:fldChar w:fldCharType="separate"/>
        </w:r>
        <w:r w:rsidR="00BB479E">
          <w:rPr>
            <w:noProof/>
            <w:webHidden/>
          </w:rPr>
          <w:t>56</w:t>
        </w:r>
        <w:r w:rsidR="006D63E0" w:rsidRPr="006D63E0">
          <w:rPr>
            <w:noProof/>
            <w:webHidden/>
          </w:rPr>
          <w:fldChar w:fldCharType="end"/>
        </w:r>
      </w:hyperlink>
    </w:p>
    <w:p w14:paraId="3A7683C3" w14:textId="42E9C0D7"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100" w:history="1">
        <w:r w:rsidR="006D63E0" w:rsidRPr="006D63E0">
          <w:rPr>
            <w:rStyle w:val="Hyperlink"/>
            <w:noProof/>
          </w:rPr>
          <w:t>Figure 13: Supply of social housing in Geelong, number of bedrooms, 2017/18</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_Toc22120100 \h </w:instrText>
        </w:r>
        <w:r w:rsidR="006D63E0" w:rsidRPr="006D63E0">
          <w:rPr>
            <w:noProof/>
            <w:webHidden/>
          </w:rPr>
        </w:r>
        <w:r w:rsidR="006D63E0" w:rsidRPr="006D63E0">
          <w:rPr>
            <w:noProof/>
            <w:webHidden/>
          </w:rPr>
          <w:fldChar w:fldCharType="separate"/>
        </w:r>
        <w:r w:rsidR="00BB479E">
          <w:rPr>
            <w:noProof/>
            <w:webHidden/>
          </w:rPr>
          <w:t>59</w:t>
        </w:r>
        <w:r w:rsidR="006D63E0" w:rsidRPr="006D63E0">
          <w:rPr>
            <w:noProof/>
            <w:webHidden/>
          </w:rPr>
          <w:fldChar w:fldCharType="end"/>
        </w:r>
      </w:hyperlink>
    </w:p>
    <w:p w14:paraId="6FA9978B" w14:textId="0510BD1A" w:rsidR="006D63E0" w:rsidRPr="006D63E0" w:rsidRDefault="00515EE9">
      <w:pPr>
        <w:pStyle w:val="TableofFigures"/>
        <w:tabs>
          <w:tab w:val="right" w:leader="dot" w:pos="9204"/>
        </w:tabs>
        <w:rPr>
          <w:rFonts w:asciiTheme="minorHAnsi" w:hAnsiTheme="minorHAnsi" w:cstheme="minorBidi"/>
          <w:noProof/>
          <w:sz w:val="22"/>
          <w:szCs w:val="22"/>
          <w:lang w:eastAsia="en-AU"/>
        </w:rPr>
      </w:pPr>
      <w:hyperlink w:anchor="_Toc22120101" w:history="1">
        <w:r w:rsidR="006D63E0" w:rsidRPr="006D63E0">
          <w:rPr>
            <w:rStyle w:val="Hyperlink"/>
            <w:noProof/>
          </w:rPr>
          <w:t>Figure 14: Distribution of social housing, Geelong, 2016</w:t>
        </w:r>
        <w:r w:rsidR="006D63E0" w:rsidRPr="006D63E0">
          <w:rPr>
            <w:noProof/>
            <w:webHidden/>
          </w:rPr>
          <w:tab/>
        </w:r>
        <w:r w:rsidR="006D63E0" w:rsidRPr="006D63E0">
          <w:rPr>
            <w:noProof/>
            <w:webHidden/>
          </w:rPr>
          <w:fldChar w:fldCharType="begin"/>
        </w:r>
        <w:r w:rsidR="006D63E0" w:rsidRPr="006D63E0">
          <w:rPr>
            <w:noProof/>
            <w:webHidden/>
          </w:rPr>
          <w:instrText xml:space="preserve"> PAGEREF _Toc22120101 \h </w:instrText>
        </w:r>
        <w:r w:rsidR="006D63E0" w:rsidRPr="006D63E0">
          <w:rPr>
            <w:noProof/>
            <w:webHidden/>
          </w:rPr>
        </w:r>
        <w:r w:rsidR="006D63E0" w:rsidRPr="006D63E0">
          <w:rPr>
            <w:noProof/>
            <w:webHidden/>
          </w:rPr>
          <w:fldChar w:fldCharType="separate"/>
        </w:r>
        <w:r w:rsidR="00BB479E">
          <w:rPr>
            <w:noProof/>
            <w:webHidden/>
          </w:rPr>
          <w:t>60</w:t>
        </w:r>
        <w:r w:rsidR="006D63E0" w:rsidRPr="006D63E0">
          <w:rPr>
            <w:noProof/>
            <w:webHidden/>
          </w:rPr>
          <w:fldChar w:fldCharType="end"/>
        </w:r>
      </w:hyperlink>
    </w:p>
    <w:p w14:paraId="6932EF56" w14:textId="752B3B10" w:rsidR="00B764FC" w:rsidRDefault="00FF5CA4">
      <w:pPr>
        <w:ind w:left="284"/>
        <w:rPr>
          <w:b/>
          <w:bCs/>
          <w:color w:val="000000"/>
          <w:sz w:val="20"/>
          <w:szCs w:val="20"/>
        </w:rPr>
      </w:pPr>
      <w:r w:rsidRPr="006D63E0">
        <w:rPr>
          <w:sz w:val="16"/>
          <w:szCs w:val="16"/>
        </w:rPr>
        <w:fldChar w:fldCharType="end"/>
      </w:r>
    </w:p>
    <w:p w14:paraId="6214A822" w14:textId="77777777" w:rsidR="00B764FC" w:rsidRDefault="00B764FC">
      <w:pPr>
        <w:pStyle w:val="Caption"/>
        <w:tabs>
          <w:tab w:val="left" w:pos="993"/>
        </w:tabs>
        <w:spacing w:line="276" w:lineRule="auto"/>
        <w:jc w:val="both"/>
        <w:rPr>
          <w:b/>
          <w:bCs/>
          <w:color w:val="000000"/>
        </w:rPr>
      </w:pPr>
    </w:p>
    <w:p w14:paraId="4D82FDC9" w14:textId="77777777" w:rsidR="00B764FC" w:rsidRDefault="00B764FC"/>
    <w:p w14:paraId="354EF544" w14:textId="77777777" w:rsidR="00B764FC" w:rsidRDefault="00B764FC"/>
    <w:p w14:paraId="31240519" w14:textId="77777777" w:rsidR="00B764FC" w:rsidRDefault="00B764FC">
      <w:pPr>
        <w:tabs>
          <w:tab w:val="left" w:pos="993"/>
        </w:tabs>
        <w:spacing w:line="276" w:lineRule="auto"/>
        <w:jc w:val="both"/>
        <w:rPr>
          <w:sz w:val="22"/>
          <w:szCs w:val="22"/>
        </w:rPr>
      </w:pPr>
    </w:p>
    <w:p w14:paraId="4DE4704A" w14:textId="77777777" w:rsidR="00B764FC" w:rsidRDefault="00B764FC">
      <w:pPr>
        <w:tabs>
          <w:tab w:val="left" w:pos="993"/>
        </w:tabs>
        <w:spacing w:after="240" w:line="276" w:lineRule="auto"/>
        <w:jc w:val="both"/>
        <w:rPr>
          <w:b/>
          <w:bCs/>
          <w:sz w:val="22"/>
          <w:szCs w:val="22"/>
        </w:rPr>
      </w:pPr>
      <w:r>
        <w:rPr>
          <w:b/>
          <w:bCs/>
          <w:sz w:val="22"/>
          <w:szCs w:val="22"/>
        </w:rPr>
        <w:t>Terminology</w:t>
      </w:r>
    </w:p>
    <w:p w14:paraId="4FB4A96A" w14:textId="2207802C" w:rsidR="00B764FC" w:rsidRDefault="00B764FC" w:rsidP="0054190D">
      <w:pPr>
        <w:pStyle w:val="ListParagraph"/>
        <w:numPr>
          <w:ilvl w:val="0"/>
          <w:numId w:val="60"/>
        </w:numPr>
        <w:tabs>
          <w:tab w:val="left" w:pos="993"/>
        </w:tabs>
        <w:spacing w:line="276" w:lineRule="auto"/>
        <w:jc w:val="both"/>
        <w:rPr>
          <w:sz w:val="20"/>
          <w:szCs w:val="20"/>
        </w:rPr>
      </w:pPr>
      <w:r>
        <w:rPr>
          <w:b/>
          <w:bCs/>
          <w:sz w:val="20"/>
          <w:szCs w:val="20"/>
        </w:rPr>
        <w:t>The City of Greater Geelong</w:t>
      </w:r>
      <w:r>
        <w:rPr>
          <w:sz w:val="20"/>
          <w:szCs w:val="20"/>
        </w:rPr>
        <w:t xml:space="preserve"> refers to the local Council, or administrative body, for the local government area of Geelong (sometimes also referred to as ‘Council’)</w:t>
      </w:r>
    </w:p>
    <w:p w14:paraId="60D41BE0" w14:textId="77777777" w:rsidR="00B764FC" w:rsidRDefault="00B764FC" w:rsidP="0054190D">
      <w:pPr>
        <w:pStyle w:val="ListParagraph"/>
        <w:numPr>
          <w:ilvl w:val="0"/>
          <w:numId w:val="60"/>
        </w:numPr>
        <w:tabs>
          <w:tab w:val="left" w:pos="993"/>
        </w:tabs>
        <w:spacing w:line="276" w:lineRule="auto"/>
        <w:jc w:val="both"/>
        <w:rPr>
          <w:sz w:val="20"/>
          <w:szCs w:val="20"/>
        </w:rPr>
      </w:pPr>
      <w:r>
        <w:rPr>
          <w:sz w:val="20"/>
          <w:szCs w:val="20"/>
        </w:rPr>
        <w:t xml:space="preserve">The term </w:t>
      </w:r>
      <w:r>
        <w:rPr>
          <w:b/>
          <w:bCs/>
          <w:sz w:val="20"/>
          <w:szCs w:val="20"/>
        </w:rPr>
        <w:t>Geelong</w:t>
      </w:r>
      <w:r>
        <w:rPr>
          <w:sz w:val="20"/>
          <w:szCs w:val="20"/>
        </w:rPr>
        <w:t xml:space="preserve"> is used to refer to the geographical areas covered by the City of Greater Geelong</w:t>
      </w:r>
    </w:p>
    <w:p w14:paraId="443E4E72" w14:textId="77777777" w:rsidR="00B764FC" w:rsidRDefault="00B764FC" w:rsidP="0054190D">
      <w:pPr>
        <w:pStyle w:val="ListParagraph"/>
        <w:numPr>
          <w:ilvl w:val="0"/>
          <w:numId w:val="60"/>
        </w:numPr>
        <w:tabs>
          <w:tab w:val="left" w:pos="993"/>
        </w:tabs>
        <w:spacing w:line="276" w:lineRule="auto"/>
        <w:jc w:val="both"/>
        <w:rPr>
          <w:sz w:val="20"/>
          <w:szCs w:val="20"/>
        </w:rPr>
      </w:pPr>
      <w:r>
        <w:rPr>
          <w:b/>
          <w:bCs/>
          <w:sz w:val="20"/>
          <w:szCs w:val="20"/>
        </w:rPr>
        <w:t xml:space="preserve">Planning Area – </w:t>
      </w:r>
      <w:r>
        <w:rPr>
          <w:sz w:val="20"/>
          <w:szCs w:val="20"/>
        </w:rPr>
        <w:t xml:space="preserve">this document uses the Planning Areas developed by K2 Planning in the City of Greater Geelong </w:t>
      </w:r>
      <w:r>
        <w:rPr>
          <w:i/>
          <w:iCs/>
          <w:sz w:val="20"/>
          <w:szCs w:val="20"/>
        </w:rPr>
        <w:t>Children’s Services Infrastructure Plan</w:t>
      </w:r>
      <w:r>
        <w:rPr>
          <w:sz w:val="20"/>
          <w:szCs w:val="20"/>
        </w:rPr>
        <w:t xml:space="preserve"> 2012 and subsequently used in future City of Greater Geelong Community Infrastructure Plans. The Planning Areas groups suburbs into areas that reflect where people travel to access services</w:t>
      </w:r>
    </w:p>
    <w:p w14:paraId="25543EBC" w14:textId="77777777" w:rsidR="00B764FC" w:rsidRDefault="00B764FC"/>
    <w:p w14:paraId="2BF78B8A" w14:textId="77777777" w:rsidR="00B764FC" w:rsidRDefault="00B764FC"/>
    <w:p w14:paraId="52B0ED6C" w14:textId="77777777" w:rsidR="00B764FC" w:rsidRDefault="00B764FC"/>
    <w:p w14:paraId="68911C3A" w14:textId="77777777" w:rsidR="00B764FC" w:rsidRDefault="00B764FC"/>
    <w:p w14:paraId="21F4CEAA" w14:textId="77777777" w:rsidR="00B764FC" w:rsidRDefault="00B764FC"/>
    <w:p w14:paraId="47A91152" w14:textId="77777777" w:rsidR="00B764FC" w:rsidRDefault="00B764FC"/>
    <w:p w14:paraId="3C0A4E28" w14:textId="77777777" w:rsidR="00B764FC" w:rsidRDefault="00B764FC"/>
    <w:p w14:paraId="7265266D" w14:textId="77777777" w:rsidR="00B764FC" w:rsidRDefault="00B764FC"/>
    <w:p w14:paraId="2D8011E5" w14:textId="77777777" w:rsidR="00B764FC" w:rsidRDefault="00B764FC"/>
    <w:p w14:paraId="253B400E" w14:textId="77777777" w:rsidR="00B764FC" w:rsidRDefault="00B764FC"/>
    <w:p w14:paraId="6D1525F6" w14:textId="77777777" w:rsidR="00B764FC" w:rsidRDefault="00B764FC"/>
    <w:p w14:paraId="5F5E3624" w14:textId="77777777" w:rsidR="00B764FC" w:rsidRDefault="00B764FC"/>
    <w:p w14:paraId="3C4FF2F2" w14:textId="77777777" w:rsidR="00B764FC" w:rsidRDefault="00B764FC"/>
    <w:p w14:paraId="62280F05" w14:textId="77777777" w:rsidR="00B764FC" w:rsidRDefault="00B764FC"/>
    <w:p w14:paraId="35D51C3E" w14:textId="77777777" w:rsidR="00B764FC" w:rsidRDefault="00B764FC">
      <w:pPr>
        <w:tabs>
          <w:tab w:val="left" w:pos="993"/>
        </w:tabs>
        <w:spacing w:after="240" w:line="276" w:lineRule="auto"/>
        <w:ind w:left="1418" w:hanging="425"/>
        <w:jc w:val="both"/>
        <w:rPr>
          <w:b/>
          <w:bCs/>
          <w:sz w:val="22"/>
          <w:szCs w:val="22"/>
        </w:rPr>
      </w:pPr>
      <w:bookmarkStart w:id="1" w:name="_Toc1396074"/>
      <w:r>
        <w:rPr>
          <w:b/>
          <w:bCs/>
          <w:sz w:val="22"/>
          <w:szCs w:val="22"/>
        </w:rPr>
        <w:lastRenderedPageBreak/>
        <w:t>List of Abbreviations</w:t>
      </w:r>
    </w:p>
    <w:p w14:paraId="4BA93FCE" w14:textId="77777777" w:rsidR="00B764FC" w:rsidRDefault="00B764FC">
      <w:pPr>
        <w:ind w:left="1418" w:hanging="284"/>
        <w:jc w:val="both"/>
        <w:rPr>
          <w:sz w:val="20"/>
          <w:szCs w:val="20"/>
        </w:rPr>
      </w:pPr>
      <w:bookmarkStart w:id="2" w:name="_Hlk12454459"/>
      <w:r>
        <w:rPr>
          <w:sz w:val="20"/>
          <w:szCs w:val="20"/>
        </w:rPr>
        <w:t xml:space="preserve">ABS </w:t>
      </w:r>
      <w:r>
        <w:rPr>
          <w:sz w:val="20"/>
          <w:szCs w:val="20"/>
        </w:rPr>
        <w:tab/>
      </w:r>
      <w:r>
        <w:rPr>
          <w:sz w:val="20"/>
          <w:szCs w:val="20"/>
        </w:rPr>
        <w:tab/>
        <w:t>Australian Bureau of Statistics</w:t>
      </w:r>
    </w:p>
    <w:p w14:paraId="37018E0A" w14:textId="77777777" w:rsidR="00B764FC" w:rsidRDefault="00B764FC">
      <w:pPr>
        <w:ind w:left="1418" w:hanging="284"/>
        <w:jc w:val="both"/>
        <w:rPr>
          <w:sz w:val="20"/>
          <w:szCs w:val="20"/>
        </w:rPr>
      </w:pPr>
      <w:r>
        <w:rPr>
          <w:sz w:val="20"/>
          <w:szCs w:val="20"/>
        </w:rPr>
        <w:t>AHURI</w:t>
      </w:r>
      <w:r>
        <w:rPr>
          <w:sz w:val="20"/>
          <w:szCs w:val="20"/>
        </w:rPr>
        <w:tab/>
      </w:r>
      <w:r>
        <w:rPr>
          <w:sz w:val="20"/>
          <w:szCs w:val="20"/>
        </w:rPr>
        <w:tab/>
        <w:t>Australian Housing and Urban Research Institute</w:t>
      </w:r>
    </w:p>
    <w:p w14:paraId="51B2E50E" w14:textId="77777777" w:rsidR="00B764FC" w:rsidRDefault="00B764FC">
      <w:pPr>
        <w:ind w:left="1418" w:hanging="284"/>
        <w:jc w:val="both"/>
        <w:rPr>
          <w:color w:val="000000"/>
          <w:sz w:val="20"/>
          <w:szCs w:val="20"/>
        </w:rPr>
      </w:pPr>
      <w:r>
        <w:rPr>
          <w:color w:val="000000"/>
          <w:sz w:val="20"/>
          <w:szCs w:val="20"/>
        </w:rPr>
        <w:t xml:space="preserve">CEHL </w:t>
      </w:r>
      <w:r>
        <w:rPr>
          <w:color w:val="000000"/>
          <w:sz w:val="20"/>
          <w:szCs w:val="20"/>
        </w:rPr>
        <w:tab/>
      </w:r>
      <w:r>
        <w:rPr>
          <w:color w:val="000000"/>
          <w:sz w:val="20"/>
          <w:szCs w:val="20"/>
        </w:rPr>
        <w:tab/>
        <w:t xml:space="preserve">Common Equity Housing Limited </w:t>
      </w:r>
    </w:p>
    <w:p w14:paraId="570A389B" w14:textId="77777777" w:rsidR="00B764FC" w:rsidRDefault="00B764FC">
      <w:pPr>
        <w:ind w:left="1418" w:hanging="284"/>
        <w:jc w:val="both"/>
        <w:rPr>
          <w:sz w:val="18"/>
          <w:szCs w:val="18"/>
        </w:rPr>
      </w:pPr>
      <w:r>
        <w:rPr>
          <w:sz w:val="20"/>
          <w:szCs w:val="20"/>
        </w:rPr>
        <w:t xml:space="preserve">CGDA </w:t>
      </w:r>
      <w:r>
        <w:rPr>
          <w:sz w:val="20"/>
          <w:szCs w:val="20"/>
        </w:rPr>
        <w:tab/>
      </w:r>
      <w:r>
        <w:rPr>
          <w:sz w:val="20"/>
          <w:szCs w:val="20"/>
        </w:rPr>
        <w:tab/>
        <w:t xml:space="preserve">Central Geelong Development Authority </w:t>
      </w:r>
    </w:p>
    <w:p w14:paraId="7C0DE4C7" w14:textId="77777777" w:rsidR="00B764FC" w:rsidRDefault="00B764FC">
      <w:pPr>
        <w:ind w:left="1418" w:hanging="284"/>
        <w:jc w:val="both"/>
        <w:rPr>
          <w:sz w:val="20"/>
          <w:szCs w:val="20"/>
        </w:rPr>
      </w:pPr>
      <w:r>
        <w:rPr>
          <w:sz w:val="20"/>
          <w:szCs w:val="20"/>
        </w:rPr>
        <w:t xml:space="preserve">DHHS </w:t>
      </w:r>
      <w:r>
        <w:rPr>
          <w:sz w:val="20"/>
          <w:szCs w:val="20"/>
        </w:rPr>
        <w:tab/>
      </w:r>
      <w:r>
        <w:rPr>
          <w:sz w:val="20"/>
          <w:szCs w:val="20"/>
        </w:rPr>
        <w:tab/>
        <w:t xml:space="preserve">Department of Health and Human Services </w:t>
      </w:r>
    </w:p>
    <w:p w14:paraId="3C0E8F31" w14:textId="77777777" w:rsidR="00B764FC" w:rsidRDefault="00B764FC">
      <w:pPr>
        <w:ind w:left="1418" w:hanging="284"/>
        <w:jc w:val="both"/>
        <w:rPr>
          <w:color w:val="000000"/>
          <w:sz w:val="20"/>
          <w:szCs w:val="20"/>
        </w:rPr>
      </w:pPr>
      <w:r>
        <w:rPr>
          <w:sz w:val="20"/>
          <w:szCs w:val="20"/>
        </w:rPr>
        <w:t>DOT</w:t>
      </w:r>
      <w:r>
        <w:rPr>
          <w:sz w:val="20"/>
          <w:szCs w:val="20"/>
        </w:rPr>
        <w:tab/>
      </w:r>
      <w:r>
        <w:rPr>
          <w:sz w:val="20"/>
          <w:szCs w:val="20"/>
        </w:rPr>
        <w:tab/>
      </w:r>
      <w:r>
        <w:rPr>
          <w:color w:val="000000"/>
          <w:sz w:val="20"/>
          <w:szCs w:val="20"/>
        </w:rPr>
        <w:t xml:space="preserve">Department of Transport </w:t>
      </w:r>
    </w:p>
    <w:p w14:paraId="15983008" w14:textId="77777777" w:rsidR="00B764FC" w:rsidRDefault="00B764FC">
      <w:pPr>
        <w:pStyle w:val="ListParagraph"/>
        <w:spacing w:line="276" w:lineRule="auto"/>
        <w:ind w:firstLine="414"/>
        <w:jc w:val="both"/>
        <w:rPr>
          <w:sz w:val="20"/>
          <w:szCs w:val="20"/>
        </w:rPr>
      </w:pPr>
      <w:r>
        <w:rPr>
          <w:sz w:val="20"/>
          <w:szCs w:val="20"/>
        </w:rPr>
        <w:t>GAHC</w:t>
      </w:r>
      <w:r>
        <w:rPr>
          <w:sz w:val="20"/>
          <w:szCs w:val="20"/>
        </w:rPr>
        <w:tab/>
      </w:r>
      <w:r>
        <w:rPr>
          <w:sz w:val="20"/>
          <w:szCs w:val="20"/>
        </w:rPr>
        <w:tab/>
        <w:t xml:space="preserve">Geelong Affordable Housing Company </w:t>
      </w:r>
    </w:p>
    <w:p w14:paraId="0A776599" w14:textId="77777777" w:rsidR="00B764FC" w:rsidRDefault="00B764FC">
      <w:pPr>
        <w:pStyle w:val="ListParagraph"/>
        <w:spacing w:line="276" w:lineRule="auto"/>
        <w:ind w:firstLine="414"/>
        <w:jc w:val="both"/>
        <w:rPr>
          <w:sz w:val="20"/>
          <w:szCs w:val="20"/>
        </w:rPr>
      </w:pPr>
      <w:r>
        <w:rPr>
          <w:sz w:val="20"/>
          <w:szCs w:val="20"/>
        </w:rPr>
        <w:t>GAHT</w:t>
      </w:r>
      <w:r>
        <w:rPr>
          <w:sz w:val="20"/>
          <w:szCs w:val="20"/>
        </w:rPr>
        <w:tab/>
      </w:r>
      <w:r>
        <w:rPr>
          <w:sz w:val="20"/>
          <w:szCs w:val="20"/>
        </w:rPr>
        <w:tab/>
        <w:t>Geelong Affordable Housing Trust</w:t>
      </w:r>
    </w:p>
    <w:p w14:paraId="21814506" w14:textId="77777777" w:rsidR="00B764FC" w:rsidRDefault="00B764FC">
      <w:pPr>
        <w:ind w:left="1418" w:hanging="284"/>
        <w:jc w:val="both"/>
        <w:rPr>
          <w:sz w:val="20"/>
          <w:szCs w:val="20"/>
        </w:rPr>
      </w:pPr>
      <w:r>
        <w:rPr>
          <w:sz w:val="20"/>
          <w:szCs w:val="20"/>
        </w:rPr>
        <w:t>IAP2</w:t>
      </w:r>
      <w:r>
        <w:rPr>
          <w:sz w:val="20"/>
          <w:szCs w:val="20"/>
        </w:rPr>
        <w:tab/>
      </w:r>
      <w:r>
        <w:rPr>
          <w:sz w:val="20"/>
          <w:szCs w:val="20"/>
        </w:rPr>
        <w:tab/>
        <w:t xml:space="preserve">International Association of Public Participation </w:t>
      </w:r>
    </w:p>
    <w:p w14:paraId="7741B19F" w14:textId="77777777" w:rsidR="00B764FC" w:rsidRDefault="00B764FC">
      <w:pPr>
        <w:ind w:left="1418" w:hanging="284"/>
        <w:jc w:val="both"/>
        <w:rPr>
          <w:sz w:val="20"/>
          <w:szCs w:val="20"/>
        </w:rPr>
      </w:pPr>
      <w:r>
        <w:rPr>
          <w:sz w:val="20"/>
          <w:szCs w:val="20"/>
        </w:rPr>
        <w:t xml:space="preserve">IHDA’s </w:t>
      </w:r>
      <w:r>
        <w:rPr>
          <w:sz w:val="20"/>
          <w:szCs w:val="20"/>
        </w:rPr>
        <w:tab/>
      </w:r>
      <w:r>
        <w:rPr>
          <w:sz w:val="20"/>
          <w:szCs w:val="20"/>
        </w:rPr>
        <w:tab/>
        <w:t xml:space="preserve">Increased Housing Diversity Areas </w:t>
      </w:r>
    </w:p>
    <w:p w14:paraId="2E4814AD" w14:textId="77777777" w:rsidR="00B764FC" w:rsidRDefault="00B764FC">
      <w:pPr>
        <w:ind w:left="1418" w:hanging="284"/>
        <w:jc w:val="both"/>
        <w:rPr>
          <w:color w:val="000000"/>
          <w:sz w:val="20"/>
          <w:szCs w:val="20"/>
        </w:rPr>
      </w:pPr>
      <w:r>
        <w:rPr>
          <w:sz w:val="20"/>
          <w:szCs w:val="20"/>
        </w:rPr>
        <w:t>LGA</w:t>
      </w:r>
      <w:r>
        <w:rPr>
          <w:sz w:val="20"/>
          <w:szCs w:val="20"/>
        </w:rPr>
        <w:tab/>
      </w:r>
      <w:r>
        <w:rPr>
          <w:sz w:val="20"/>
          <w:szCs w:val="20"/>
        </w:rPr>
        <w:tab/>
      </w:r>
      <w:r>
        <w:rPr>
          <w:color w:val="000000"/>
          <w:sz w:val="20"/>
          <w:szCs w:val="20"/>
        </w:rPr>
        <w:t>Local Government Area</w:t>
      </w:r>
    </w:p>
    <w:p w14:paraId="1E4E0AB0" w14:textId="77777777" w:rsidR="00B764FC" w:rsidRDefault="00B764FC">
      <w:pPr>
        <w:ind w:left="1418" w:hanging="284"/>
        <w:jc w:val="both"/>
        <w:rPr>
          <w:sz w:val="20"/>
          <w:szCs w:val="20"/>
        </w:rPr>
      </w:pPr>
      <w:r>
        <w:rPr>
          <w:sz w:val="20"/>
          <w:szCs w:val="20"/>
        </w:rPr>
        <w:t xml:space="preserve">MPHP </w:t>
      </w:r>
      <w:r>
        <w:rPr>
          <w:sz w:val="20"/>
          <w:szCs w:val="20"/>
        </w:rPr>
        <w:tab/>
      </w:r>
      <w:r>
        <w:rPr>
          <w:sz w:val="20"/>
          <w:szCs w:val="20"/>
        </w:rPr>
        <w:tab/>
        <w:t xml:space="preserve">Municipal Public Health and Wellbeing Plan </w:t>
      </w:r>
    </w:p>
    <w:p w14:paraId="32FCD39C" w14:textId="77777777" w:rsidR="00B764FC" w:rsidRDefault="00B764FC">
      <w:pPr>
        <w:ind w:left="1418" w:hanging="284"/>
        <w:jc w:val="both"/>
        <w:rPr>
          <w:color w:val="000000"/>
          <w:sz w:val="20"/>
          <w:szCs w:val="20"/>
          <w:lang w:val="en-US"/>
        </w:rPr>
      </w:pPr>
      <w:r>
        <w:rPr>
          <w:color w:val="000000"/>
          <w:sz w:val="20"/>
          <w:szCs w:val="20"/>
          <w:lang w:val="en-US"/>
        </w:rPr>
        <w:t xml:space="preserve">NATSEM </w:t>
      </w:r>
      <w:r>
        <w:rPr>
          <w:color w:val="000000"/>
          <w:sz w:val="20"/>
          <w:szCs w:val="20"/>
          <w:lang w:val="en-US"/>
        </w:rPr>
        <w:tab/>
      </w:r>
      <w:r>
        <w:rPr>
          <w:color w:val="000000"/>
          <w:sz w:val="20"/>
          <w:szCs w:val="20"/>
          <w:lang w:val="en-US"/>
        </w:rPr>
        <w:tab/>
        <w:t>National Centre for Social and Economic Modelling</w:t>
      </w:r>
    </w:p>
    <w:p w14:paraId="284EE110" w14:textId="77777777" w:rsidR="00B764FC" w:rsidRDefault="00B764FC">
      <w:pPr>
        <w:spacing w:line="276" w:lineRule="auto"/>
        <w:ind w:left="414" w:firstLine="720"/>
        <w:jc w:val="both"/>
        <w:rPr>
          <w:sz w:val="20"/>
          <w:szCs w:val="20"/>
        </w:rPr>
      </w:pPr>
      <w:r>
        <w:rPr>
          <w:sz w:val="20"/>
          <w:szCs w:val="20"/>
        </w:rPr>
        <w:t xml:space="preserve">NDIA </w:t>
      </w:r>
      <w:r>
        <w:rPr>
          <w:sz w:val="20"/>
          <w:szCs w:val="20"/>
        </w:rPr>
        <w:tab/>
      </w:r>
      <w:r>
        <w:rPr>
          <w:sz w:val="20"/>
          <w:szCs w:val="20"/>
        </w:rPr>
        <w:tab/>
        <w:t xml:space="preserve">The National Disability Insurance Agency </w:t>
      </w:r>
    </w:p>
    <w:p w14:paraId="751CF109" w14:textId="77777777" w:rsidR="00B764FC" w:rsidRDefault="00B764FC">
      <w:pPr>
        <w:ind w:left="414" w:firstLine="720"/>
        <w:rPr>
          <w:sz w:val="20"/>
          <w:szCs w:val="20"/>
        </w:rPr>
      </w:pPr>
      <w:r>
        <w:rPr>
          <w:sz w:val="20"/>
          <w:szCs w:val="20"/>
        </w:rPr>
        <w:t>NGRHC</w:t>
      </w:r>
      <w:r>
        <w:rPr>
          <w:sz w:val="20"/>
          <w:szCs w:val="20"/>
        </w:rPr>
        <w:tab/>
      </w:r>
      <w:r>
        <w:rPr>
          <w:sz w:val="20"/>
          <w:szCs w:val="20"/>
        </w:rPr>
        <w:tab/>
        <w:t xml:space="preserve">North Geelong Rental Housing Co-operative </w:t>
      </w:r>
    </w:p>
    <w:p w14:paraId="7257D862" w14:textId="77777777" w:rsidR="00B764FC" w:rsidRDefault="00B764FC">
      <w:pPr>
        <w:ind w:left="1418" w:hanging="284"/>
        <w:jc w:val="both"/>
        <w:rPr>
          <w:color w:val="000000"/>
          <w:sz w:val="20"/>
          <w:szCs w:val="20"/>
        </w:rPr>
      </w:pPr>
      <w:r>
        <w:rPr>
          <w:color w:val="000000"/>
          <w:sz w:val="20"/>
          <w:szCs w:val="20"/>
        </w:rPr>
        <w:t>OoH</w:t>
      </w:r>
      <w:r>
        <w:rPr>
          <w:color w:val="000000"/>
          <w:sz w:val="20"/>
          <w:szCs w:val="20"/>
        </w:rPr>
        <w:tab/>
      </w:r>
      <w:r>
        <w:rPr>
          <w:color w:val="000000"/>
          <w:sz w:val="20"/>
          <w:szCs w:val="20"/>
        </w:rPr>
        <w:tab/>
        <w:t>Office of Housing</w:t>
      </w:r>
    </w:p>
    <w:p w14:paraId="2F151A05" w14:textId="77777777" w:rsidR="00B764FC" w:rsidRDefault="00B764FC">
      <w:pPr>
        <w:ind w:left="1418" w:hanging="284"/>
        <w:jc w:val="both"/>
        <w:rPr>
          <w:sz w:val="20"/>
          <w:szCs w:val="20"/>
        </w:rPr>
      </w:pPr>
      <w:r>
        <w:rPr>
          <w:sz w:val="20"/>
          <w:szCs w:val="20"/>
        </w:rPr>
        <w:t xml:space="preserve">PPHA </w:t>
      </w:r>
      <w:r>
        <w:rPr>
          <w:sz w:val="20"/>
          <w:szCs w:val="20"/>
        </w:rPr>
        <w:tab/>
      </w:r>
      <w:r>
        <w:rPr>
          <w:sz w:val="20"/>
          <w:szCs w:val="20"/>
        </w:rPr>
        <w:tab/>
        <w:t>Port Phillip Housing Association</w:t>
      </w:r>
    </w:p>
    <w:p w14:paraId="5793F361" w14:textId="77777777" w:rsidR="00B764FC" w:rsidRDefault="00B764FC">
      <w:pPr>
        <w:ind w:left="1418" w:hanging="284"/>
        <w:jc w:val="both"/>
        <w:rPr>
          <w:color w:val="000000"/>
          <w:sz w:val="18"/>
          <w:szCs w:val="18"/>
        </w:rPr>
      </w:pPr>
      <w:r>
        <w:rPr>
          <w:sz w:val="20"/>
          <w:szCs w:val="20"/>
        </w:rPr>
        <w:t xml:space="preserve">PPHT </w:t>
      </w:r>
      <w:r>
        <w:rPr>
          <w:sz w:val="20"/>
          <w:szCs w:val="20"/>
        </w:rPr>
        <w:tab/>
      </w:r>
      <w:r>
        <w:rPr>
          <w:sz w:val="20"/>
          <w:szCs w:val="20"/>
        </w:rPr>
        <w:tab/>
        <w:t>Port Phillip Housing Trust</w:t>
      </w:r>
    </w:p>
    <w:p w14:paraId="61ECA79A" w14:textId="77777777" w:rsidR="00B764FC" w:rsidRDefault="00B764FC">
      <w:pPr>
        <w:ind w:left="1418" w:hanging="284"/>
        <w:jc w:val="both"/>
        <w:rPr>
          <w:color w:val="000000"/>
          <w:sz w:val="20"/>
          <w:szCs w:val="20"/>
        </w:rPr>
      </w:pPr>
      <w:r>
        <w:rPr>
          <w:color w:val="000000"/>
          <w:sz w:val="20"/>
          <w:szCs w:val="20"/>
        </w:rPr>
        <w:t>PSP</w:t>
      </w:r>
      <w:r>
        <w:rPr>
          <w:color w:val="000000"/>
          <w:sz w:val="20"/>
          <w:szCs w:val="20"/>
        </w:rPr>
        <w:tab/>
      </w:r>
      <w:r>
        <w:rPr>
          <w:color w:val="000000"/>
          <w:sz w:val="20"/>
          <w:szCs w:val="20"/>
        </w:rPr>
        <w:tab/>
      </w:r>
      <w:r>
        <w:rPr>
          <w:color w:val="000000"/>
          <w:sz w:val="20"/>
          <w:szCs w:val="20"/>
        </w:rPr>
        <w:tab/>
        <w:t xml:space="preserve">Precinct Structure Plan  </w:t>
      </w:r>
    </w:p>
    <w:p w14:paraId="4EE6B734" w14:textId="77777777" w:rsidR="00B764FC" w:rsidRDefault="00B764FC">
      <w:pPr>
        <w:ind w:left="1418" w:hanging="284"/>
        <w:jc w:val="both"/>
        <w:rPr>
          <w:sz w:val="20"/>
          <w:szCs w:val="20"/>
        </w:rPr>
      </w:pPr>
      <w:r>
        <w:rPr>
          <w:color w:val="000000"/>
          <w:sz w:val="20"/>
          <w:szCs w:val="20"/>
        </w:rPr>
        <w:t>RHA</w:t>
      </w:r>
      <w:r>
        <w:rPr>
          <w:color w:val="000000"/>
          <w:sz w:val="20"/>
          <w:szCs w:val="20"/>
        </w:rPr>
        <w:tab/>
      </w:r>
      <w:r>
        <w:rPr>
          <w:color w:val="000000"/>
          <w:sz w:val="20"/>
          <w:szCs w:val="20"/>
        </w:rPr>
        <w:tab/>
      </w:r>
      <w:r>
        <w:rPr>
          <w:sz w:val="20"/>
          <w:szCs w:val="20"/>
        </w:rPr>
        <w:t xml:space="preserve">Registered Housing Association </w:t>
      </w:r>
    </w:p>
    <w:p w14:paraId="040F3430" w14:textId="77777777" w:rsidR="00B764FC" w:rsidRDefault="00B764FC">
      <w:pPr>
        <w:ind w:left="1418" w:hanging="284"/>
        <w:jc w:val="both"/>
        <w:rPr>
          <w:sz w:val="20"/>
          <w:szCs w:val="20"/>
        </w:rPr>
      </w:pPr>
      <w:r>
        <w:rPr>
          <w:color w:val="000000"/>
          <w:sz w:val="20"/>
          <w:szCs w:val="20"/>
        </w:rPr>
        <w:t>SEIFA</w:t>
      </w:r>
      <w:r>
        <w:rPr>
          <w:color w:val="000000"/>
          <w:sz w:val="20"/>
          <w:szCs w:val="20"/>
        </w:rPr>
        <w:tab/>
      </w:r>
      <w:r>
        <w:rPr>
          <w:color w:val="000000"/>
          <w:sz w:val="20"/>
          <w:szCs w:val="20"/>
        </w:rPr>
        <w:tab/>
        <w:t>Socio-Economic Index for Areas</w:t>
      </w:r>
    </w:p>
    <w:p w14:paraId="5651D74C" w14:textId="77777777" w:rsidR="00B764FC" w:rsidRDefault="00B764FC">
      <w:pPr>
        <w:ind w:left="1418" w:hanging="284"/>
        <w:jc w:val="both"/>
        <w:rPr>
          <w:sz w:val="20"/>
          <w:szCs w:val="20"/>
        </w:rPr>
      </w:pPr>
      <w:r>
        <w:rPr>
          <w:sz w:val="20"/>
          <w:szCs w:val="20"/>
        </w:rPr>
        <w:t>SHP</w:t>
      </w:r>
      <w:r>
        <w:rPr>
          <w:sz w:val="20"/>
          <w:szCs w:val="20"/>
        </w:rPr>
        <w:tab/>
      </w:r>
      <w:r>
        <w:rPr>
          <w:sz w:val="20"/>
          <w:szCs w:val="20"/>
        </w:rPr>
        <w:tab/>
        <w:t>Social Housing Plan</w:t>
      </w:r>
    </w:p>
    <w:p w14:paraId="1CBD71DA" w14:textId="77777777" w:rsidR="00B764FC" w:rsidRDefault="00B764FC">
      <w:pPr>
        <w:spacing w:line="276" w:lineRule="auto"/>
        <w:ind w:left="414" w:firstLine="720"/>
        <w:jc w:val="both"/>
        <w:rPr>
          <w:sz w:val="20"/>
          <w:szCs w:val="20"/>
        </w:rPr>
      </w:pPr>
      <w:r>
        <w:rPr>
          <w:sz w:val="20"/>
          <w:szCs w:val="20"/>
        </w:rPr>
        <w:t xml:space="preserve">TAC </w:t>
      </w:r>
      <w:r>
        <w:rPr>
          <w:sz w:val="20"/>
          <w:szCs w:val="20"/>
        </w:rPr>
        <w:tab/>
      </w:r>
      <w:r>
        <w:rPr>
          <w:sz w:val="20"/>
          <w:szCs w:val="20"/>
        </w:rPr>
        <w:tab/>
        <w:t xml:space="preserve">The Victorian Transport Accident Commission </w:t>
      </w:r>
    </w:p>
    <w:p w14:paraId="2AC5799C" w14:textId="77777777" w:rsidR="00B764FC" w:rsidRDefault="00B764FC">
      <w:pPr>
        <w:ind w:left="1418" w:hanging="284"/>
        <w:jc w:val="both"/>
        <w:rPr>
          <w:sz w:val="20"/>
          <w:szCs w:val="20"/>
        </w:rPr>
      </w:pPr>
      <w:r>
        <w:rPr>
          <w:color w:val="000000"/>
          <w:sz w:val="20"/>
          <w:szCs w:val="20"/>
        </w:rPr>
        <w:t>UDIA</w:t>
      </w:r>
      <w:r>
        <w:rPr>
          <w:i/>
          <w:iCs/>
          <w:color w:val="000000"/>
          <w:sz w:val="20"/>
          <w:szCs w:val="20"/>
        </w:rPr>
        <w:t xml:space="preserve"> </w:t>
      </w:r>
      <w:r>
        <w:rPr>
          <w:i/>
          <w:iCs/>
          <w:color w:val="000000"/>
          <w:sz w:val="20"/>
          <w:szCs w:val="20"/>
        </w:rPr>
        <w:tab/>
      </w:r>
      <w:r>
        <w:rPr>
          <w:i/>
          <w:iCs/>
          <w:color w:val="000000"/>
          <w:sz w:val="20"/>
          <w:szCs w:val="20"/>
        </w:rPr>
        <w:tab/>
      </w:r>
      <w:r>
        <w:rPr>
          <w:color w:val="000000"/>
          <w:sz w:val="20"/>
          <w:szCs w:val="20"/>
        </w:rPr>
        <w:t xml:space="preserve">Urban Development Institute of Australia </w:t>
      </w:r>
    </w:p>
    <w:p w14:paraId="74D71F19" w14:textId="77777777" w:rsidR="00B764FC" w:rsidRDefault="00B764FC">
      <w:pPr>
        <w:ind w:left="414" w:firstLine="720"/>
        <w:rPr>
          <w:sz w:val="20"/>
          <w:szCs w:val="20"/>
        </w:rPr>
      </w:pPr>
      <w:r>
        <w:rPr>
          <w:sz w:val="20"/>
          <w:szCs w:val="20"/>
        </w:rPr>
        <w:t>VACRO</w:t>
      </w:r>
      <w:r>
        <w:rPr>
          <w:sz w:val="20"/>
          <w:szCs w:val="20"/>
        </w:rPr>
        <w:tab/>
      </w:r>
      <w:r>
        <w:rPr>
          <w:sz w:val="20"/>
          <w:szCs w:val="20"/>
        </w:rPr>
        <w:tab/>
        <w:t xml:space="preserve">Victorian Association for the Care and Resettlement of Offenders </w:t>
      </w:r>
    </w:p>
    <w:p w14:paraId="7BD10295" w14:textId="77777777" w:rsidR="00B764FC" w:rsidRDefault="00B764FC">
      <w:pPr>
        <w:ind w:left="1418" w:hanging="284"/>
        <w:jc w:val="both"/>
        <w:rPr>
          <w:sz w:val="20"/>
          <w:szCs w:val="20"/>
        </w:rPr>
      </w:pPr>
      <w:r>
        <w:rPr>
          <w:sz w:val="20"/>
          <w:szCs w:val="20"/>
        </w:rPr>
        <w:t>UDIA</w:t>
      </w:r>
      <w:r>
        <w:rPr>
          <w:sz w:val="20"/>
          <w:szCs w:val="20"/>
        </w:rPr>
        <w:tab/>
      </w:r>
      <w:r>
        <w:rPr>
          <w:sz w:val="20"/>
          <w:szCs w:val="20"/>
        </w:rPr>
        <w:tab/>
        <w:t>Urban Development Institute of Australia</w:t>
      </w:r>
    </w:p>
    <w:bookmarkEnd w:id="2"/>
    <w:p w14:paraId="1C5CFBC0" w14:textId="77777777" w:rsidR="00B764FC" w:rsidRDefault="00B764FC">
      <w:pPr>
        <w:tabs>
          <w:tab w:val="left" w:pos="993"/>
        </w:tabs>
        <w:spacing w:line="276" w:lineRule="auto"/>
        <w:ind w:left="1418" w:hanging="425"/>
        <w:jc w:val="both"/>
        <w:rPr>
          <w:sz w:val="22"/>
          <w:szCs w:val="22"/>
        </w:rPr>
      </w:pPr>
    </w:p>
    <w:p w14:paraId="3632C4B3" w14:textId="2287955A" w:rsidR="00B764FC" w:rsidRDefault="00B764FC">
      <w:pPr>
        <w:tabs>
          <w:tab w:val="left" w:pos="993"/>
        </w:tabs>
        <w:spacing w:line="276" w:lineRule="auto"/>
        <w:jc w:val="both"/>
        <w:rPr>
          <w:b/>
          <w:bCs/>
          <w:sz w:val="20"/>
          <w:szCs w:val="20"/>
        </w:rPr>
      </w:pPr>
      <w:r>
        <w:rPr>
          <w:b/>
          <w:bCs/>
          <w:sz w:val="20"/>
          <w:szCs w:val="20"/>
        </w:rPr>
        <w:tab/>
        <w:t xml:space="preserve">Please refer to </w:t>
      </w:r>
      <w:r w:rsidR="00077040" w:rsidRPr="006D63E0">
        <w:fldChar w:fldCharType="begin"/>
      </w:r>
      <w:r w:rsidR="00077040" w:rsidRPr="006D63E0">
        <w:instrText xml:space="preserve"> REF _Ref17385328 \h  \* MERGEFORMAT </w:instrText>
      </w:r>
      <w:r w:rsidR="00077040" w:rsidRPr="006D63E0">
        <w:fldChar w:fldCharType="separate"/>
      </w:r>
      <w:r w:rsidR="00BB479E" w:rsidRPr="00BB479E">
        <w:rPr>
          <w:b/>
          <w:bCs/>
          <w:sz w:val="20"/>
          <w:szCs w:val="20"/>
        </w:rPr>
        <w:t xml:space="preserve">Table </w:t>
      </w:r>
      <w:r w:rsidR="00BB479E" w:rsidRPr="00BB479E">
        <w:rPr>
          <w:b/>
          <w:bCs/>
          <w:noProof/>
          <w:sz w:val="20"/>
          <w:szCs w:val="20"/>
        </w:rPr>
        <w:t>21</w:t>
      </w:r>
      <w:r w:rsidR="00077040" w:rsidRPr="006D63E0">
        <w:fldChar w:fldCharType="end"/>
      </w:r>
      <w:r w:rsidRPr="006D63E0">
        <w:rPr>
          <w:b/>
          <w:bCs/>
          <w:sz w:val="20"/>
          <w:szCs w:val="20"/>
        </w:rPr>
        <w:t>, p.</w:t>
      </w:r>
      <w:r w:rsidR="00B12847">
        <w:rPr>
          <w:b/>
          <w:bCs/>
          <w:sz w:val="20"/>
          <w:szCs w:val="20"/>
        </w:rPr>
        <w:t xml:space="preserve"> 83</w:t>
      </w:r>
      <w:r>
        <w:rPr>
          <w:b/>
          <w:bCs/>
          <w:sz w:val="20"/>
          <w:szCs w:val="20"/>
        </w:rPr>
        <w:t xml:space="preserve"> for a Glossary of Key Terms </w:t>
      </w:r>
    </w:p>
    <w:p w14:paraId="54B0D999" w14:textId="77777777" w:rsidR="00B764FC" w:rsidRDefault="00B764FC">
      <w:pPr>
        <w:rPr>
          <w:sz w:val="22"/>
          <w:szCs w:val="22"/>
        </w:rPr>
      </w:pPr>
      <w:r>
        <w:rPr>
          <w:sz w:val="22"/>
          <w:szCs w:val="22"/>
        </w:rPr>
        <w:br w:type="page"/>
      </w:r>
    </w:p>
    <w:p w14:paraId="1F98A2DE" w14:textId="77777777" w:rsidR="00B764FC" w:rsidRPr="00944EEC" w:rsidRDefault="00B764FC">
      <w:pPr>
        <w:pStyle w:val="Title"/>
        <w:rPr>
          <w:rFonts w:ascii="Arial Black" w:hAnsi="Arial Black"/>
          <w:b/>
          <w:color w:val="002060"/>
        </w:rPr>
      </w:pPr>
      <w:bookmarkStart w:id="3" w:name="_Toc17387319"/>
      <w:bookmarkStart w:id="4" w:name="_Toc17477419"/>
      <w:bookmarkEnd w:id="1"/>
      <w:r w:rsidRPr="00944EEC">
        <w:rPr>
          <w:rFonts w:ascii="Arial Black" w:hAnsi="Arial Black"/>
          <w:b/>
          <w:color w:val="002060"/>
        </w:rPr>
        <w:lastRenderedPageBreak/>
        <w:t>Part A: City of Greater Geelong Social Housing Plan</w:t>
      </w:r>
    </w:p>
    <w:p w14:paraId="3DACE1C9" w14:textId="77777777" w:rsidR="00B764FC" w:rsidRPr="00944EEC" w:rsidRDefault="00B764FC">
      <w:pPr>
        <w:pStyle w:val="Heading1"/>
        <w:ind w:left="567" w:hanging="567"/>
        <w:rPr>
          <w:color w:val="002060"/>
        </w:rPr>
      </w:pPr>
      <w:bookmarkStart w:id="5" w:name="_Toc22120147"/>
      <w:r w:rsidRPr="00944EEC">
        <w:rPr>
          <w:color w:val="002060"/>
        </w:rPr>
        <w:t>Executive Summary</w:t>
      </w:r>
      <w:bookmarkEnd w:id="5"/>
    </w:p>
    <w:p w14:paraId="2C5EAC45" w14:textId="77777777" w:rsidR="00B764FC" w:rsidRDefault="00B764FC">
      <w:pPr>
        <w:spacing w:line="276" w:lineRule="auto"/>
        <w:jc w:val="both"/>
        <w:rPr>
          <w:sz w:val="22"/>
          <w:szCs w:val="22"/>
        </w:rPr>
      </w:pPr>
      <w:r>
        <w:rPr>
          <w:sz w:val="22"/>
          <w:szCs w:val="22"/>
        </w:rPr>
        <w:t>Housing affordability is constantly in the news. After a decade of rising house prices fewer people are purchasing a home and private rental costs are causing financial problems for many households. Front pages of many newspapers carry the stories of those who are suffering the most – the homeless and those in housing poverty.</w:t>
      </w:r>
    </w:p>
    <w:p w14:paraId="47039B26" w14:textId="77777777" w:rsidR="00B764FC" w:rsidRDefault="00B764FC">
      <w:pPr>
        <w:spacing w:line="276" w:lineRule="auto"/>
        <w:jc w:val="both"/>
        <w:rPr>
          <w:sz w:val="22"/>
          <w:szCs w:val="22"/>
        </w:rPr>
      </w:pPr>
    </w:p>
    <w:p w14:paraId="7063D09A" w14:textId="77777777" w:rsidR="00B764FC" w:rsidRDefault="00B764FC">
      <w:pPr>
        <w:jc w:val="center"/>
        <w:rPr>
          <w:rFonts w:ascii="Trebuchet MS" w:hAnsi="Trebuchet MS" w:cs="Trebuchet MS"/>
          <w:i/>
          <w:iCs/>
          <w:sz w:val="20"/>
          <w:szCs w:val="20"/>
        </w:rPr>
      </w:pPr>
      <w:r>
        <w:rPr>
          <w:rFonts w:ascii="Trebuchet MS" w:hAnsi="Trebuchet MS" w:cs="Trebuchet MS"/>
          <w:i/>
          <w:iCs/>
          <w:sz w:val="20"/>
          <w:szCs w:val="20"/>
        </w:rPr>
        <w:t>Funding cuts to blame for homeless increase, Corio MP Richard Marles says</w:t>
      </w:r>
    </w:p>
    <w:p w14:paraId="40468EF1" w14:textId="77777777" w:rsidR="00B764FC" w:rsidRDefault="00B764FC">
      <w:pPr>
        <w:pStyle w:val="NormalWeb"/>
        <w:spacing w:before="120" w:after="0"/>
        <w:jc w:val="center"/>
        <w:rPr>
          <w:rFonts w:ascii="Trebuchet MS" w:hAnsi="Trebuchet MS" w:cs="Trebuchet MS"/>
          <w:b/>
          <w:bCs/>
          <w:i/>
          <w:iCs/>
          <w:color w:val="000000"/>
          <w:sz w:val="20"/>
          <w:szCs w:val="20"/>
          <w:shd w:val="clear" w:color="auto" w:fill="FFFFFF"/>
        </w:rPr>
      </w:pPr>
      <w:r>
        <w:rPr>
          <w:rFonts w:ascii="Trebuchet MS" w:hAnsi="Trebuchet MS" w:cs="Trebuchet MS"/>
          <w:b/>
          <w:bCs/>
          <w:i/>
          <w:iCs/>
          <w:color w:val="000000"/>
          <w:sz w:val="20"/>
          <w:szCs w:val="20"/>
        </w:rPr>
        <w:t>With next week marking Homelessness Week, Corio MP Richard Marles has called on the Government to demonstrate more leadership to take real action on combating homelessness…</w:t>
      </w:r>
      <w:r>
        <w:rPr>
          <w:rFonts w:ascii="Trebuchet MS" w:hAnsi="Trebuchet MS" w:cs="Trebuchet MS"/>
          <w:b/>
          <w:bCs/>
          <w:i/>
          <w:iCs/>
          <w:color w:val="000000"/>
          <w:sz w:val="20"/>
          <w:szCs w:val="20"/>
          <w:shd w:val="clear" w:color="auto" w:fill="FFFFFF"/>
        </w:rPr>
        <w:t>There are more homeless people in Geelong than ever before amid increasing funding cuts to frontline services, warns Corio MP Richard Marles.</w:t>
      </w:r>
    </w:p>
    <w:p w14:paraId="6DE69C13" w14:textId="77777777" w:rsidR="00B764FC" w:rsidRDefault="00B764FC">
      <w:pPr>
        <w:pStyle w:val="NormalWeb"/>
        <w:spacing w:before="0" w:after="120"/>
        <w:jc w:val="center"/>
        <w:rPr>
          <w:rFonts w:cs="Calibri"/>
          <w:i/>
          <w:iCs/>
          <w:sz w:val="20"/>
          <w:szCs w:val="20"/>
        </w:rPr>
      </w:pPr>
      <w:r>
        <w:rPr>
          <w:rFonts w:cs="Calibri"/>
          <w:color w:val="000000"/>
          <w:sz w:val="20"/>
          <w:szCs w:val="20"/>
          <w:shd w:val="clear" w:color="auto" w:fill="FFFFFF"/>
        </w:rPr>
        <w:t>(</w:t>
      </w:r>
      <w:r>
        <w:rPr>
          <w:rFonts w:cs="Calibri"/>
          <w:sz w:val="20"/>
          <w:szCs w:val="20"/>
          <w:shd w:val="clear" w:color="auto" w:fill="FFFFFF"/>
        </w:rPr>
        <w:t>Geelong Advertiser</w:t>
      </w:r>
      <w:r>
        <w:rPr>
          <w:rFonts w:cs="Calibri"/>
          <w:i/>
          <w:iCs/>
          <w:sz w:val="20"/>
          <w:szCs w:val="20"/>
          <w:shd w:val="clear" w:color="auto" w:fill="FFFFFF"/>
        </w:rPr>
        <w:t xml:space="preserve"> </w:t>
      </w:r>
      <w:r>
        <w:rPr>
          <w:rFonts w:cs="Calibri"/>
          <w:sz w:val="20"/>
          <w:szCs w:val="20"/>
          <w:shd w:val="clear" w:color="auto" w:fill="FFFFFF"/>
        </w:rPr>
        <w:t>August 5, 2019)</w:t>
      </w:r>
    </w:p>
    <w:p w14:paraId="42FE6DA7" w14:textId="77777777" w:rsidR="00B764FC" w:rsidRDefault="00B764FC">
      <w:pPr>
        <w:spacing w:line="276" w:lineRule="auto"/>
        <w:jc w:val="both"/>
        <w:rPr>
          <w:sz w:val="22"/>
          <w:szCs w:val="22"/>
        </w:rPr>
      </w:pPr>
    </w:p>
    <w:p w14:paraId="35C1771C" w14:textId="77777777" w:rsidR="00B764FC" w:rsidRDefault="00B764FC">
      <w:pPr>
        <w:spacing w:after="240" w:line="276" w:lineRule="auto"/>
        <w:jc w:val="both"/>
        <w:rPr>
          <w:sz w:val="22"/>
          <w:szCs w:val="22"/>
        </w:rPr>
      </w:pPr>
      <w:r>
        <w:rPr>
          <w:sz w:val="22"/>
          <w:szCs w:val="22"/>
        </w:rPr>
        <w:t xml:space="preserve">In theory the solution is simple. International research backed by Australian experience indicates that ‘housing first’ is the right approach – regardless of the many factors contributing to homelessness providing people with safe, secure and affordable </w:t>
      </w:r>
      <w:r>
        <w:rPr>
          <w:b/>
          <w:bCs/>
          <w:sz w:val="22"/>
          <w:szCs w:val="22"/>
        </w:rPr>
        <w:t>housing first</w:t>
      </w:r>
      <w:r>
        <w:rPr>
          <w:sz w:val="22"/>
          <w:szCs w:val="22"/>
        </w:rPr>
        <w:t xml:space="preserve"> enables them to gain the stability necessary to deal with other pressures in their lives.</w:t>
      </w:r>
    </w:p>
    <w:p w14:paraId="5A034609" w14:textId="77777777" w:rsidR="00B764FC" w:rsidRDefault="00B764FC">
      <w:pPr>
        <w:spacing w:after="240" w:line="276" w:lineRule="auto"/>
        <w:jc w:val="both"/>
        <w:rPr>
          <w:sz w:val="22"/>
          <w:szCs w:val="22"/>
        </w:rPr>
      </w:pPr>
      <w:r>
        <w:rPr>
          <w:sz w:val="22"/>
          <w:szCs w:val="22"/>
        </w:rPr>
        <w:t>Social housing is the solution. Social housing is rental housing provided to the lowest income groups in the community, at a rent that is based on their income (generally 30%). Social housing is provided by the State Government (public housing) or by Registered Housing Agencies (RHA’s) (community housing). To achieve the affordability outcome the construction or operations of social housing must be subsidised.</w:t>
      </w:r>
    </w:p>
    <w:p w14:paraId="4AA2B171" w14:textId="21E148CE" w:rsidR="00B764FC" w:rsidRDefault="00B764FC">
      <w:pPr>
        <w:spacing w:after="240" w:line="276" w:lineRule="auto"/>
        <w:jc w:val="both"/>
        <w:rPr>
          <w:sz w:val="22"/>
          <w:szCs w:val="22"/>
        </w:rPr>
      </w:pPr>
      <w:r>
        <w:rPr>
          <w:sz w:val="22"/>
          <w:szCs w:val="22"/>
        </w:rPr>
        <w:t>Currently there are only 3,300 social housing dwellings in Geelong. However, there are an estimated 7,200 households in Geelong who urgently need social housing with about 6,400 living in the private rental market and paying in excess of 30% of their income on rent (often more than 50%) and a further 900 who are homeless altogether. The total demand for social housing is therefore estimated at 10,500 dwellings or approximately 1</w:t>
      </w:r>
      <w:r w:rsidR="00077040">
        <w:rPr>
          <w:sz w:val="22"/>
          <w:szCs w:val="22"/>
        </w:rPr>
        <w:t>1</w:t>
      </w:r>
      <w:r>
        <w:rPr>
          <w:sz w:val="22"/>
          <w:szCs w:val="22"/>
        </w:rPr>
        <w:t>% of all households.</w:t>
      </w:r>
    </w:p>
    <w:p w14:paraId="5E7E24A6" w14:textId="17432DFC" w:rsidR="00B764FC" w:rsidRDefault="00B764FC">
      <w:pPr>
        <w:spacing w:after="240" w:line="276" w:lineRule="auto"/>
        <w:jc w:val="both"/>
        <w:rPr>
          <w:sz w:val="22"/>
          <w:szCs w:val="22"/>
        </w:rPr>
      </w:pPr>
      <w:r>
        <w:rPr>
          <w:sz w:val="22"/>
          <w:szCs w:val="22"/>
        </w:rPr>
        <w:t xml:space="preserve">With the population of Geelong expected to grow by at least another 50,000 dwellings over the next two decades, a current shortfall of 7,200 social housing dwellings, and 50% of the existing social housing needing to be replaced over that period, it is estimated that a Social Housing Plan designed to overcome homelessness and housing poverty will need to deliver </w:t>
      </w:r>
      <w:r>
        <w:rPr>
          <w:b/>
          <w:bCs/>
          <w:sz w:val="22"/>
          <w:szCs w:val="22"/>
        </w:rPr>
        <w:t>13,500 new social housing dwellings by 2041</w:t>
      </w:r>
      <w:r>
        <w:rPr>
          <w:sz w:val="22"/>
          <w:szCs w:val="22"/>
        </w:rPr>
        <w:t>.</w:t>
      </w:r>
    </w:p>
    <w:p w14:paraId="2850E406" w14:textId="75B13B02" w:rsidR="00B764FC" w:rsidRDefault="00B764FC">
      <w:pPr>
        <w:spacing w:after="240" w:line="276" w:lineRule="auto"/>
        <w:jc w:val="both"/>
        <w:rPr>
          <w:sz w:val="22"/>
          <w:szCs w:val="22"/>
        </w:rPr>
      </w:pPr>
      <w:r>
        <w:rPr>
          <w:sz w:val="22"/>
          <w:szCs w:val="22"/>
        </w:rPr>
        <w:t>This implies the addition of an average 675 social housing dwellings per annum over the next 20 years requiring an estimated investment of</w:t>
      </w:r>
      <w:r w:rsidR="00077040">
        <w:rPr>
          <w:sz w:val="22"/>
          <w:szCs w:val="22"/>
        </w:rPr>
        <w:t xml:space="preserve"> $235M</w:t>
      </w:r>
      <w:r>
        <w:rPr>
          <w:sz w:val="22"/>
          <w:szCs w:val="22"/>
        </w:rPr>
        <w:t xml:space="preserve"> per annum. This level of investment is far beyond the capacity of any local government and will only be addressed if State and Commonwealth Governments are committed to addressing the problem.</w:t>
      </w:r>
    </w:p>
    <w:p w14:paraId="42488D5A" w14:textId="25B7C16F" w:rsidR="00B764FC" w:rsidRDefault="00B764FC">
      <w:pPr>
        <w:spacing w:line="276" w:lineRule="auto"/>
        <w:jc w:val="both"/>
        <w:rPr>
          <w:sz w:val="22"/>
          <w:szCs w:val="22"/>
        </w:rPr>
      </w:pPr>
      <w:r>
        <w:rPr>
          <w:sz w:val="22"/>
          <w:szCs w:val="22"/>
        </w:rPr>
        <w:lastRenderedPageBreak/>
        <w:t>The City of Greater Geelong (</w:t>
      </w:r>
      <w:r w:rsidR="00864FA3">
        <w:rPr>
          <w:sz w:val="22"/>
          <w:szCs w:val="22"/>
        </w:rPr>
        <w:t>the City</w:t>
      </w:r>
      <w:r>
        <w:rPr>
          <w:sz w:val="22"/>
          <w:szCs w:val="22"/>
        </w:rPr>
        <w:t xml:space="preserve">) is the level of government closest to the lived experience of homelessness and housing poverty. </w:t>
      </w:r>
      <w:r w:rsidR="00E47A45">
        <w:rPr>
          <w:sz w:val="22"/>
          <w:szCs w:val="22"/>
        </w:rPr>
        <w:t xml:space="preserve">The City </w:t>
      </w:r>
      <w:r>
        <w:rPr>
          <w:sz w:val="22"/>
          <w:szCs w:val="22"/>
        </w:rPr>
        <w:t>best understands the impact of the lack of social housing on individuals and families and has to carry the burden of supporting people when housing costs force them into poverty, contribute to physical and mental health problems, and eventually lead to a crisis.</w:t>
      </w:r>
    </w:p>
    <w:p w14:paraId="746380FF" w14:textId="77777777" w:rsidR="00B764FC" w:rsidRDefault="00B764FC">
      <w:pPr>
        <w:spacing w:line="276" w:lineRule="auto"/>
        <w:jc w:val="both"/>
        <w:rPr>
          <w:sz w:val="22"/>
          <w:szCs w:val="22"/>
        </w:rPr>
      </w:pPr>
    </w:p>
    <w:p w14:paraId="2858A588" w14:textId="1EB792BC" w:rsidR="00B764FC" w:rsidRDefault="00E47A45">
      <w:pPr>
        <w:spacing w:after="240" w:line="276" w:lineRule="auto"/>
        <w:jc w:val="both"/>
        <w:rPr>
          <w:sz w:val="22"/>
          <w:szCs w:val="22"/>
        </w:rPr>
      </w:pPr>
      <w:r>
        <w:rPr>
          <w:sz w:val="22"/>
          <w:szCs w:val="22"/>
        </w:rPr>
        <w:t xml:space="preserve">The City </w:t>
      </w:r>
      <w:r w:rsidR="00B764FC">
        <w:rPr>
          <w:sz w:val="22"/>
          <w:szCs w:val="22"/>
        </w:rPr>
        <w:t>therefore needs to take a strategic role in driving a new social housing growth strategy for Geelong. This Plan outlines the elements of such a strategy including the following roles</w:t>
      </w:r>
      <w:r w:rsidR="00864FA3">
        <w:rPr>
          <w:sz w:val="22"/>
          <w:szCs w:val="22"/>
        </w:rPr>
        <w:t>:</w:t>
      </w:r>
    </w:p>
    <w:p w14:paraId="6BD325A6" w14:textId="00F91075" w:rsidR="00B764FC" w:rsidRDefault="00B764FC" w:rsidP="0054190D">
      <w:pPr>
        <w:pStyle w:val="ListParagraph"/>
        <w:numPr>
          <w:ilvl w:val="0"/>
          <w:numId w:val="62"/>
        </w:numPr>
        <w:spacing w:after="120" w:line="276" w:lineRule="auto"/>
        <w:jc w:val="both"/>
        <w:rPr>
          <w:sz w:val="22"/>
          <w:szCs w:val="22"/>
        </w:rPr>
      </w:pPr>
      <w:r>
        <w:rPr>
          <w:sz w:val="22"/>
          <w:szCs w:val="22"/>
        </w:rPr>
        <w:t>Tak</w:t>
      </w:r>
      <w:r w:rsidR="00077040">
        <w:rPr>
          <w:sz w:val="22"/>
          <w:szCs w:val="22"/>
        </w:rPr>
        <w:t>e</w:t>
      </w:r>
      <w:r>
        <w:rPr>
          <w:sz w:val="22"/>
          <w:szCs w:val="22"/>
        </w:rPr>
        <w:t xml:space="preserve"> a </w:t>
      </w:r>
      <w:r>
        <w:rPr>
          <w:b/>
          <w:bCs/>
          <w:sz w:val="22"/>
          <w:szCs w:val="22"/>
        </w:rPr>
        <w:t>LEADERSHIP</w:t>
      </w:r>
      <w:r>
        <w:rPr>
          <w:sz w:val="22"/>
          <w:szCs w:val="22"/>
        </w:rPr>
        <w:t xml:space="preserve"> role in advocating for an increase in social housing by presenting compelling data and a coherent strategy to both the State and Commonwealth Governments. </w:t>
      </w:r>
    </w:p>
    <w:p w14:paraId="1E5849F1" w14:textId="380A7455" w:rsidR="00B764FC" w:rsidRDefault="00B764FC" w:rsidP="0054190D">
      <w:pPr>
        <w:pStyle w:val="ListParagraph"/>
        <w:numPr>
          <w:ilvl w:val="0"/>
          <w:numId w:val="62"/>
        </w:numPr>
        <w:spacing w:after="120" w:line="276" w:lineRule="auto"/>
        <w:jc w:val="both"/>
        <w:rPr>
          <w:sz w:val="22"/>
          <w:szCs w:val="22"/>
        </w:rPr>
      </w:pPr>
      <w:r>
        <w:rPr>
          <w:b/>
          <w:bCs/>
          <w:sz w:val="22"/>
          <w:szCs w:val="22"/>
        </w:rPr>
        <w:t>INVEST</w:t>
      </w:r>
      <w:r>
        <w:rPr>
          <w:sz w:val="22"/>
          <w:szCs w:val="22"/>
        </w:rPr>
        <w:t xml:space="preserve"> in social housing by contributing suitable sites surplus to </w:t>
      </w:r>
      <w:r w:rsidR="00864FA3">
        <w:rPr>
          <w:sz w:val="22"/>
          <w:szCs w:val="22"/>
        </w:rPr>
        <w:t xml:space="preserve">the City </w:t>
      </w:r>
      <w:r>
        <w:rPr>
          <w:sz w:val="22"/>
          <w:szCs w:val="22"/>
        </w:rPr>
        <w:t xml:space="preserve">requirements and a modest annual budget thereby demonstrating </w:t>
      </w:r>
      <w:r w:rsidR="00864FA3">
        <w:rPr>
          <w:sz w:val="22"/>
          <w:szCs w:val="22"/>
        </w:rPr>
        <w:t xml:space="preserve">it’s </w:t>
      </w:r>
      <w:r>
        <w:rPr>
          <w:sz w:val="22"/>
          <w:szCs w:val="22"/>
        </w:rPr>
        <w:t>commitment and credibility.</w:t>
      </w:r>
    </w:p>
    <w:p w14:paraId="3C19671C" w14:textId="0813996D" w:rsidR="00B764FC" w:rsidRDefault="00B764FC" w:rsidP="0054190D">
      <w:pPr>
        <w:pStyle w:val="ListParagraph"/>
        <w:numPr>
          <w:ilvl w:val="0"/>
          <w:numId w:val="62"/>
        </w:numPr>
        <w:spacing w:after="120" w:line="276" w:lineRule="auto"/>
        <w:jc w:val="both"/>
        <w:rPr>
          <w:sz w:val="22"/>
          <w:szCs w:val="22"/>
        </w:rPr>
      </w:pPr>
      <w:r>
        <w:rPr>
          <w:sz w:val="22"/>
          <w:szCs w:val="22"/>
        </w:rPr>
        <w:t xml:space="preserve">Develop </w:t>
      </w:r>
      <w:r>
        <w:rPr>
          <w:b/>
          <w:bCs/>
          <w:sz w:val="22"/>
          <w:szCs w:val="22"/>
        </w:rPr>
        <w:t>PARTNERSHIPS</w:t>
      </w:r>
      <w:r>
        <w:rPr>
          <w:sz w:val="22"/>
          <w:szCs w:val="22"/>
        </w:rPr>
        <w:t xml:space="preserve"> with both the State and Commonwealth Government culminating in funding agreements that will lead to significant growth in social housing over the next 20 years.</w:t>
      </w:r>
    </w:p>
    <w:p w14:paraId="35957EBB" w14:textId="77777777" w:rsidR="00B764FC" w:rsidRDefault="00B764FC" w:rsidP="0054190D">
      <w:pPr>
        <w:pStyle w:val="ListParagraph"/>
        <w:numPr>
          <w:ilvl w:val="0"/>
          <w:numId w:val="62"/>
        </w:numPr>
        <w:spacing w:after="120" w:line="276" w:lineRule="auto"/>
        <w:jc w:val="both"/>
        <w:rPr>
          <w:sz w:val="22"/>
          <w:szCs w:val="22"/>
        </w:rPr>
      </w:pPr>
      <w:r>
        <w:rPr>
          <w:sz w:val="22"/>
          <w:szCs w:val="22"/>
        </w:rPr>
        <w:t xml:space="preserve">Amend the </w:t>
      </w:r>
      <w:r>
        <w:rPr>
          <w:b/>
          <w:bCs/>
          <w:sz w:val="22"/>
          <w:szCs w:val="22"/>
        </w:rPr>
        <w:t>PLANNING</w:t>
      </w:r>
      <w:r>
        <w:rPr>
          <w:sz w:val="22"/>
          <w:szCs w:val="22"/>
        </w:rPr>
        <w:t xml:space="preserve"> Scheme in the context of recent amendments to the Victorian Planning &amp; Environment Act and the anticipated outcomes of the new Victorian Ministerial Advisory Committee on the role of planning legislation to support social housing to enable Council to negotiate significant developer contributions to social housing. </w:t>
      </w:r>
    </w:p>
    <w:p w14:paraId="432B9271" w14:textId="77777777" w:rsidR="00B764FC" w:rsidRDefault="00B764FC" w:rsidP="0054190D">
      <w:pPr>
        <w:pStyle w:val="ListParagraph"/>
        <w:numPr>
          <w:ilvl w:val="0"/>
          <w:numId w:val="62"/>
        </w:numPr>
        <w:spacing w:after="120" w:line="276" w:lineRule="auto"/>
        <w:jc w:val="both"/>
        <w:rPr>
          <w:sz w:val="22"/>
          <w:szCs w:val="22"/>
        </w:rPr>
      </w:pPr>
      <w:r>
        <w:rPr>
          <w:sz w:val="22"/>
          <w:szCs w:val="22"/>
        </w:rPr>
        <w:t xml:space="preserve">Participate in ongoing </w:t>
      </w:r>
      <w:r>
        <w:rPr>
          <w:b/>
          <w:bCs/>
          <w:sz w:val="22"/>
          <w:szCs w:val="22"/>
        </w:rPr>
        <w:t>URBAN RENEWAL</w:t>
      </w:r>
      <w:r>
        <w:rPr>
          <w:sz w:val="22"/>
          <w:szCs w:val="22"/>
        </w:rPr>
        <w:t xml:space="preserve"> plans for Corio, Norlane and Whittington thereby contributing to increased social, environmental and economic sustainability in these three very disadvantaged suburbs.</w:t>
      </w:r>
    </w:p>
    <w:p w14:paraId="799DCFF7" w14:textId="77777777" w:rsidR="00B764FC" w:rsidRDefault="00B764FC" w:rsidP="0054190D">
      <w:pPr>
        <w:pStyle w:val="ListParagraph"/>
        <w:numPr>
          <w:ilvl w:val="0"/>
          <w:numId w:val="62"/>
        </w:numPr>
        <w:spacing w:after="120" w:line="276" w:lineRule="auto"/>
        <w:jc w:val="both"/>
        <w:rPr>
          <w:sz w:val="22"/>
          <w:szCs w:val="22"/>
        </w:rPr>
      </w:pPr>
      <w:r>
        <w:rPr>
          <w:b/>
          <w:bCs/>
          <w:sz w:val="22"/>
          <w:szCs w:val="22"/>
        </w:rPr>
        <w:t>BUILD CAPACITY</w:t>
      </w:r>
      <w:r>
        <w:rPr>
          <w:sz w:val="22"/>
          <w:szCs w:val="22"/>
        </w:rPr>
        <w:t xml:space="preserve"> in the local infrastructure necessary to achieve the social housing growth and regeneration objectives by building key operational infrastructure organisations.</w:t>
      </w:r>
    </w:p>
    <w:p w14:paraId="36402B8B" w14:textId="77777777" w:rsidR="00B764FC" w:rsidRDefault="00B764FC">
      <w:pPr>
        <w:spacing w:after="240" w:line="276" w:lineRule="auto"/>
        <w:jc w:val="both"/>
        <w:rPr>
          <w:sz w:val="22"/>
          <w:szCs w:val="22"/>
        </w:rPr>
      </w:pPr>
      <w:r>
        <w:rPr>
          <w:sz w:val="22"/>
          <w:szCs w:val="22"/>
        </w:rPr>
        <w:t>In practical terms, the key initiatives within the Social Housing Plan include a commitment by the City of Greater Geelong to:</w:t>
      </w:r>
    </w:p>
    <w:p w14:paraId="56D3543A" w14:textId="041DC19E" w:rsidR="00B764FC" w:rsidRDefault="00B764FC" w:rsidP="0054190D">
      <w:pPr>
        <w:pStyle w:val="ListParagraph"/>
        <w:numPr>
          <w:ilvl w:val="0"/>
          <w:numId w:val="61"/>
        </w:numPr>
        <w:spacing w:after="120" w:line="276" w:lineRule="auto"/>
        <w:jc w:val="both"/>
        <w:rPr>
          <w:sz w:val="22"/>
          <w:szCs w:val="22"/>
        </w:rPr>
      </w:pPr>
      <w:r>
        <w:rPr>
          <w:sz w:val="22"/>
          <w:szCs w:val="22"/>
        </w:rPr>
        <w:t xml:space="preserve">Make available all suitable unutilised </w:t>
      </w:r>
      <w:r w:rsidR="00864FA3">
        <w:rPr>
          <w:sz w:val="22"/>
          <w:szCs w:val="22"/>
        </w:rPr>
        <w:t xml:space="preserve">City </w:t>
      </w:r>
      <w:r>
        <w:rPr>
          <w:sz w:val="22"/>
          <w:szCs w:val="22"/>
        </w:rPr>
        <w:t>owned land for residential development in a timely manner with a minimum of 30% social housing (42 sites identified).</w:t>
      </w:r>
    </w:p>
    <w:p w14:paraId="04532205" w14:textId="77777777" w:rsidR="00B764FC" w:rsidRDefault="00B764FC" w:rsidP="0054190D">
      <w:pPr>
        <w:pStyle w:val="ListParagraph"/>
        <w:numPr>
          <w:ilvl w:val="0"/>
          <w:numId w:val="61"/>
        </w:numPr>
        <w:spacing w:after="120" w:line="276" w:lineRule="auto"/>
        <w:jc w:val="both"/>
        <w:rPr>
          <w:sz w:val="22"/>
          <w:szCs w:val="22"/>
        </w:rPr>
      </w:pPr>
      <w:r>
        <w:rPr>
          <w:sz w:val="22"/>
          <w:szCs w:val="22"/>
        </w:rPr>
        <w:t>Contribute an annual budget of $1M to social housing to leverage investment from other levels of government.</w:t>
      </w:r>
    </w:p>
    <w:p w14:paraId="044CD158" w14:textId="04996A9F" w:rsidR="00B764FC" w:rsidRDefault="00B764FC" w:rsidP="0054190D">
      <w:pPr>
        <w:pStyle w:val="ListParagraph"/>
        <w:numPr>
          <w:ilvl w:val="0"/>
          <w:numId w:val="61"/>
        </w:numPr>
        <w:spacing w:after="120" w:line="276" w:lineRule="auto"/>
        <w:jc w:val="both"/>
        <w:rPr>
          <w:sz w:val="22"/>
          <w:szCs w:val="22"/>
        </w:rPr>
      </w:pPr>
      <w:r>
        <w:rPr>
          <w:sz w:val="22"/>
          <w:szCs w:val="22"/>
        </w:rPr>
        <w:t xml:space="preserve">Adopt a Local Planning Policy for Social Housing and amend the Geelong Planning Scheme to enable </w:t>
      </w:r>
      <w:r w:rsidR="00864FA3">
        <w:rPr>
          <w:sz w:val="22"/>
          <w:szCs w:val="22"/>
        </w:rPr>
        <w:t xml:space="preserve">the City </w:t>
      </w:r>
      <w:r>
        <w:rPr>
          <w:sz w:val="22"/>
          <w:szCs w:val="22"/>
        </w:rPr>
        <w:t xml:space="preserve">to negotiate development contribution </w:t>
      </w:r>
      <w:r w:rsidR="00017FA2">
        <w:rPr>
          <w:sz w:val="22"/>
          <w:szCs w:val="22"/>
        </w:rPr>
        <w:t>to</w:t>
      </w:r>
      <w:r>
        <w:rPr>
          <w:sz w:val="22"/>
          <w:szCs w:val="22"/>
        </w:rPr>
        <w:t xml:space="preserve"> social housing in all new developments where the approval of the planning application increases land </w:t>
      </w:r>
      <w:r w:rsidR="00077040">
        <w:rPr>
          <w:sz w:val="22"/>
          <w:szCs w:val="22"/>
        </w:rPr>
        <w:t>value.</w:t>
      </w:r>
    </w:p>
    <w:p w14:paraId="1207C0F0" w14:textId="77777777" w:rsidR="00B764FC" w:rsidRDefault="00B764FC" w:rsidP="0054190D">
      <w:pPr>
        <w:pStyle w:val="ListParagraph"/>
        <w:numPr>
          <w:ilvl w:val="0"/>
          <w:numId w:val="61"/>
        </w:numPr>
        <w:spacing w:after="120" w:line="276" w:lineRule="auto"/>
        <w:jc w:val="both"/>
        <w:rPr>
          <w:sz w:val="22"/>
          <w:szCs w:val="22"/>
        </w:rPr>
      </w:pPr>
      <w:r>
        <w:rPr>
          <w:sz w:val="22"/>
          <w:szCs w:val="22"/>
        </w:rPr>
        <w:t>Negotiate a Social Housing Agreement with the Victorian State Government which includes: State commitments to funding ambitious growth targets; releasing suitable surplus land for residential development with a minimum of 30% social housing; and completion of urban renewal plans for Corio, Norlane and Whittington.</w:t>
      </w:r>
    </w:p>
    <w:p w14:paraId="4E8171DB" w14:textId="77777777" w:rsidR="00B764FC" w:rsidRDefault="00B764FC" w:rsidP="0054190D">
      <w:pPr>
        <w:pStyle w:val="ListParagraph"/>
        <w:numPr>
          <w:ilvl w:val="0"/>
          <w:numId w:val="61"/>
        </w:numPr>
        <w:spacing w:after="120" w:line="276" w:lineRule="auto"/>
        <w:jc w:val="both"/>
        <w:rPr>
          <w:sz w:val="22"/>
          <w:szCs w:val="22"/>
        </w:rPr>
      </w:pPr>
      <w:r>
        <w:rPr>
          <w:sz w:val="22"/>
          <w:szCs w:val="22"/>
        </w:rPr>
        <w:t xml:space="preserve">Negotiate an Agreement with the Commonwealth government that includes a commitment by the Commonwealth to release all suitable surplus land for residential development including: a minimum of 30% social housing; financial support for the social housing growth strategy through the National Housing Finance Investment Corporation (NHFIC); and allocation of a significant </w:t>
      </w:r>
      <w:r>
        <w:rPr>
          <w:sz w:val="22"/>
          <w:szCs w:val="22"/>
        </w:rPr>
        <w:lastRenderedPageBreak/>
        <w:t>number of National Rental Affordability Scheme (NRAS) incentives to Geelong, if that scheme is reopened.</w:t>
      </w:r>
    </w:p>
    <w:p w14:paraId="56F9C103" w14:textId="0C9C0D49" w:rsidR="00B764FC" w:rsidRDefault="00B764FC">
      <w:pPr>
        <w:spacing w:after="240" w:line="276" w:lineRule="auto"/>
        <w:jc w:val="both"/>
        <w:rPr>
          <w:sz w:val="22"/>
          <w:szCs w:val="22"/>
        </w:rPr>
      </w:pPr>
      <w:r>
        <w:rPr>
          <w:sz w:val="22"/>
          <w:szCs w:val="22"/>
        </w:rPr>
        <w:t>In order for the Social Housing Plan to be implemented</w:t>
      </w:r>
      <w:r w:rsidR="00864FA3">
        <w:rPr>
          <w:sz w:val="22"/>
          <w:szCs w:val="22"/>
        </w:rPr>
        <w:t>, the City</w:t>
      </w:r>
      <w:r>
        <w:rPr>
          <w:sz w:val="22"/>
          <w:szCs w:val="22"/>
        </w:rPr>
        <w:t xml:space="preserve"> will commit to the establishment of the following two key components of local infrastructure necessary to support social housing</w:t>
      </w:r>
      <w:r w:rsidR="00017FA2">
        <w:rPr>
          <w:sz w:val="22"/>
          <w:szCs w:val="22"/>
        </w:rPr>
        <w:t xml:space="preserve"> growth:</w:t>
      </w:r>
    </w:p>
    <w:p w14:paraId="18C53464" w14:textId="20FCF515" w:rsidR="00B764FC" w:rsidRPr="00017FA2" w:rsidRDefault="00B764FC" w:rsidP="00017FA2">
      <w:pPr>
        <w:pStyle w:val="ListParagraph"/>
        <w:numPr>
          <w:ilvl w:val="0"/>
          <w:numId w:val="33"/>
        </w:numPr>
        <w:spacing w:after="240" w:line="276" w:lineRule="auto"/>
        <w:jc w:val="both"/>
        <w:rPr>
          <w:b/>
          <w:bCs/>
          <w:sz w:val="22"/>
          <w:szCs w:val="22"/>
        </w:rPr>
      </w:pPr>
      <w:r>
        <w:rPr>
          <w:b/>
          <w:bCs/>
          <w:sz w:val="22"/>
          <w:szCs w:val="22"/>
        </w:rPr>
        <w:t xml:space="preserve">Geelong Affordable Housing Trust </w:t>
      </w:r>
      <w:r>
        <w:rPr>
          <w:sz w:val="22"/>
          <w:szCs w:val="22"/>
        </w:rPr>
        <w:t xml:space="preserve">- a special purpose investment vehicle to hold all assets and contributions provided by </w:t>
      </w:r>
      <w:r w:rsidR="00864FA3">
        <w:rPr>
          <w:sz w:val="22"/>
          <w:szCs w:val="22"/>
        </w:rPr>
        <w:t>the</w:t>
      </w:r>
      <w:r w:rsidR="001A22EA">
        <w:rPr>
          <w:sz w:val="22"/>
          <w:szCs w:val="22"/>
        </w:rPr>
        <w:t xml:space="preserve"> </w:t>
      </w:r>
      <w:r w:rsidR="00864FA3">
        <w:rPr>
          <w:sz w:val="22"/>
          <w:szCs w:val="22"/>
        </w:rPr>
        <w:t>City</w:t>
      </w:r>
      <w:r>
        <w:rPr>
          <w:sz w:val="22"/>
          <w:szCs w:val="22"/>
        </w:rPr>
        <w:t>, the State Government, the Commonwealth Government and the private sector (via Sec</w:t>
      </w:r>
      <w:r w:rsidR="00E62F41">
        <w:rPr>
          <w:sz w:val="22"/>
          <w:szCs w:val="22"/>
        </w:rPr>
        <w:t>tion</w:t>
      </w:r>
      <w:r>
        <w:rPr>
          <w:sz w:val="22"/>
          <w:szCs w:val="22"/>
        </w:rPr>
        <w:t xml:space="preserve"> 173 Affordable Housing Agreements). The Trust will provide assurance to all parties that the value of their contributions will be retained as social housing within the municipality in perpetuity.</w:t>
      </w:r>
    </w:p>
    <w:p w14:paraId="60778CE9" w14:textId="2352E0DA" w:rsidR="00B764FC" w:rsidRDefault="00B764FC" w:rsidP="00077040">
      <w:pPr>
        <w:pStyle w:val="ListParagraph"/>
        <w:numPr>
          <w:ilvl w:val="0"/>
          <w:numId w:val="33"/>
        </w:numPr>
        <w:spacing w:before="240" w:line="276" w:lineRule="auto"/>
        <w:jc w:val="both"/>
        <w:rPr>
          <w:sz w:val="22"/>
          <w:szCs w:val="22"/>
        </w:rPr>
      </w:pPr>
      <w:r>
        <w:rPr>
          <w:b/>
          <w:bCs/>
          <w:sz w:val="22"/>
          <w:szCs w:val="22"/>
        </w:rPr>
        <w:t xml:space="preserve">Geelong Affordable Housing Company (GAHC) - </w:t>
      </w:r>
      <w:r>
        <w:rPr>
          <w:sz w:val="22"/>
          <w:szCs w:val="22"/>
        </w:rPr>
        <w:t>a special purpose affordable housing development company that is registered as a Housing Association under the Victorian Housing Act and which is appointed by</w:t>
      </w:r>
      <w:r w:rsidR="00864FA3">
        <w:rPr>
          <w:sz w:val="22"/>
          <w:szCs w:val="22"/>
        </w:rPr>
        <w:t xml:space="preserve"> the City </w:t>
      </w:r>
      <w:r>
        <w:rPr>
          <w:sz w:val="22"/>
          <w:szCs w:val="22"/>
        </w:rPr>
        <w:t>as the Trustee of the Trust. It is anticipated that the GAHC will take responsibility for developing and implementing an investment program based on the commitments of</w:t>
      </w:r>
      <w:r w:rsidR="009135F8">
        <w:rPr>
          <w:sz w:val="22"/>
          <w:szCs w:val="22"/>
        </w:rPr>
        <w:t xml:space="preserve"> </w:t>
      </w:r>
      <w:r w:rsidR="00864FA3">
        <w:rPr>
          <w:sz w:val="22"/>
          <w:szCs w:val="22"/>
        </w:rPr>
        <w:t>the City</w:t>
      </w:r>
      <w:r>
        <w:rPr>
          <w:sz w:val="22"/>
          <w:szCs w:val="22"/>
        </w:rPr>
        <w:t>, the State and Commonwealth Governments and the anticipated contributions to social housing provided through Sec</w:t>
      </w:r>
      <w:r w:rsidR="00E62F41">
        <w:rPr>
          <w:sz w:val="22"/>
          <w:szCs w:val="22"/>
        </w:rPr>
        <w:t>tion</w:t>
      </w:r>
      <w:r>
        <w:rPr>
          <w:sz w:val="22"/>
          <w:szCs w:val="22"/>
        </w:rPr>
        <w:t xml:space="preserve"> 173 Agreements, and subsequently arranging long term management of social housing assets, including the appointment of housing managers with the capacity to provide the best service to the specific residents of each development.</w:t>
      </w:r>
    </w:p>
    <w:p w14:paraId="6565A367" w14:textId="77777777" w:rsidR="00B764FC" w:rsidRDefault="00B764FC">
      <w:r>
        <w:br w:type="page"/>
      </w:r>
    </w:p>
    <w:p w14:paraId="073AA1AE" w14:textId="77777777" w:rsidR="00B764FC" w:rsidRPr="00B831C1" w:rsidRDefault="00B764FC">
      <w:pPr>
        <w:pStyle w:val="Heading2"/>
      </w:pPr>
      <w:bookmarkStart w:id="6" w:name="_Toc22120148"/>
      <w:r w:rsidRPr="00B831C1">
        <w:lastRenderedPageBreak/>
        <w:t>1.1 Vision, Aims, Objectives and Targets</w:t>
      </w:r>
      <w:bookmarkEnd w:id="6"/>
      <w:r w:rsidRPr="00B831C1">
        <w:t xml:space="preserve"> </w:t>
      </w:r>
    </w:p>
    <w:p w14:paraId="6F593BF7" w14:textId="77777777" w:rsidR="00B764FC" w:rsidRDefault="00B764FC">
      <w:pPr>
        <w:spacing w:line="276" w:lineRule="auto"/>
        <w:jc w:val="both"/>
        <w:rPr>
          <w:sz w:val="22"/>
          <w:szCs w:val="22"/>
        </w:rPr>
      </w:pPr>
      <w:r>
        <w:rPr>
          <w:sz w:val="22"/>
          <w:szCs w:val="22"/>
        </w:rPr>
        <w:t xml:space="preserve">The City of Greater Geelong </w:t>
      </w:r>
      <w:r>
        <w:rPr>
          <w:i/>
          <w:iCs/>
          <w:sz w:val="22"/>
          <w:szCs w:val="22"/>
        </w:rPr>
        <w:t>Social Housing Plan</w:t>
      </w:r>
      <w:r>
        <w:rPr>
          <w:sz w:val="22"/>
          <w:szCs w:val="22"/>
        </w:rPr>
        <w:t xml:space="preserve"> seeks to give effect to the aspiration for an inclusive community which cares for the most vulnerable members of that community outlined in the</w:t>
      </w:r>
      <w:r>
        <w:rPr>
          <w:b/>
          <w:bCs/>
          <w:sz w:val="22"/>
          <w:szCs w:val="22"/>
        </w:rPr>
        <w:t xml:space="preserve"> </w:t>
      </w:r>
      <w:r>
        <w:rPr>
          <w:sz w:val="22"/>
          <w:szCs w:val="22"/>
        </w:rPr>
        <w:t xml:space="preserve">community’s vision for the City, </w:t>
      </w:r>
      <w:r>
        <w:rPr>
          <w:i/>
          <w:iCs/>
          <w:sz w:val="22"/>
          <w:szCs w:val="22"/>
        </w:rPr>
        <w:t>Greater Geelong: A Clever and Creative Future</w:t>
      </w:r>
      <w:r>
        <w:rPr>
          <w:sz w:val="22"/>
          <w:szCs w:val="22"/>
        </w:rPr>
        <w:t>.</w:t>
      </w:r>
    </w:p>
    <w:p w14:paraId="4D5E75EE" w14:textId="77777777" w:rsidR="00B764FC" w:rsidRDefault="00B764FC"/>
    <w:tbl>
      <w:tblPr>
        <w:tblW w:w="0" w:type="auto"/>
        <w:tblInd w:w="-106"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144"/>
        <w:gridCol w:w="120"/>
        <w:gridCol w:w="2486"/>
        <w:gridCol w:w="2268"/>
        <w:gridCol w:w="2480"/>
      </w:tblGrid>
      <w:tr w:rsidR="00B764FC" w14:paraId="762BA905" w14:textId="77777777" w:rsidTr="00B831C1">
        <w:tc>
          <w:tcPr>
            <w:tcW w:w="9498" w:type="dxa"/>
            <w:gridSpan w:val="5"/>
            <w:tcBorders>
              <w:left w:val="nil"/>
              <w:right w:val="nil"/>
            </w:tcBorders>
            <w:shd w:val="clear" w:color="auto" w:fill="002060"/>
          </w:tcPr>
          <w:p w14:paraId="3BDF0766" w14:textId="77777777" w:rsidR="00B764FC" w:rsidRPr="00B831C1" w:rsidRDefault="00B764FC">
            <w:pPr>
              <w:spacing w:line="276" w:lineRule="auto"/>
              <w:jc w:val="center"/>
              <w:rPr>
                <w:b/>
                <w:bCs/>
                <w:color w:val="002060"/>
                <w:sz w:val="20"/>
                <w:szCs w:val="20"/>
                <w:highlight w:val="darkBlue"/>
              </w:rPr>
            </w:pPr>
            <w:r w:rsidRPr="00B831C1">
              <w:rPr>
                <w:b/>
                <w:bCs/>
                <w:color w:val="FFFFFF"/>
                <w:sz w:val="20"/>
                <w:szCs w:val="20"/>
                <w:highlight w:val="darkBlue"/>
              </w:rPr>
              <w:t>COMMUNITY VISION</w:t>
            </w:r>
          </w:p>
        </w:tc>
      </w:tr>
      <w:tr w:rsidR="00B764FC" w14:paraId="4D60E0FC" w14:textId="77777777">
        <w:tc>
          <w:tcPr>
            <w:tcW w:w="9498" w:type="dxa"/>
            <w:gridSpan w:val="5"/>
            <w:tcBorders>
              <w:left w:val="nil"/>
              <w:right w:val="nil"/>
            </w:tcBorders>
          </w:tcPr>
          <w:p w14:paraId="04002446" w14:textId="77777777" w:rsidR="00B764FC" w:rsidRDefault="00B764FC">
            <w:pPr>
              <w:spacing w:line="276" w:lineRule="auto"/>
              <w:jc w:val="center"/>
              <w:rPr>
                <w:i/>
                <w:iCs/>
                <w:sz w:val="20"/>
                <w:szCs w:val="20"/>
              </w:rPr>
            </w:pPr>
            <w:r>
              <w:rPr>
                <w:i/>
                <w:iCs/>
                <w:sz w:val="20"/>
                <w:szCs w:val="20"/>
              </w:rPr>
              <w:t xml:space="preserve">Greater Geelong will be internationally recognised as a clever and creative city-region that is forward looking, enterprising and adaptive, and cares for its people and environment </w:t>
            </w:r>
          </w:p>
          <w:p w14:paraId="147C43DC" w14:textId="77777777" w:rsidR="00B764FC" w:rsidRDefault="00B764FC">
            <w:pPr>
              <w:spacing w:line="276" w:lineRule="auto"/>
              <w:ind w:left="34" w:right="34"/>
              <w:jc w:val="center"/>
              <w:rPr>
                <w:sz w:val="20"/>
                <w:szCs w:val="20"/>
              </w:rPr>
            </w:pPr>
            <w:r>
              <w:rPr>
                <w:sz w:val="20"/>
                <w:szCs w:val="20"/>
              </w:rPr>
              <w:t>(Greater Geelong: A Clever and Creative Future)</w:t>
            </w:r>
          </w:p>
          <w:p w14:paraId="7E440BC3" w14:textId="77777777" w:rsidR="00B764FC" w:rsidRDefault="00B764FC">
            <w:pPr>
              <w:spacing w:line="276" w:lineRule="auto"/>
              <w:ind w:left="34" w:right="34"/>
              <w:jc w:val="center"/>
              <w:rPr>
                <w:sz w:val="20"/>
                <w:szCs w:val="20"/>
              </w:rPr>
            </w:pPr>
          </w:p>
          <w:p w14:paraId="13842490" w14:textId="77777777" w:rsidR="00B764FC" w:rsidRDefault="00B764FC">
            <w:pPr>
              <w:pStyle w:val="paragraph"/>
              <w:spacing w:before="0" w:after="0"/>
              <w:jc w:val="center"/>
              <w:rPr>
                <w:sz w:val="20"/>
                <w:szCs w:val="20"/>
              </w:rPr>
            </w:pPr>
            <w:r>
              <w:rPr>
                <w:i/>
                <w:iCs/>
                <w:sz w:val="20"/>
                <w:szCs w:val="20"/>
              </w:rPr>
              <w:t>Community Aspiration:</w:t>
            </w:r>
            <w:r>
              <w:rPr>
                <w:sz w:val="20"/>
                <w:szCs w:val="20"/>
              </w:rPr>
              <w:t xml:space="preserve"> An inclusive, diverse, healthy and socially connected community.</w:t>
            </w:r>
          </w:p>
          <w:p w14:paraId="4F7B715E" w14:textId="77777777" w:rsidR="00B764FC" w:rsidRDefault="00B764FC">
            <w:pPr>
              <w:pStyle w:val="paragraph"/>
              <w:spacing w:before="0" w:after="0"/>
              <w:jc w:val="center"/>
              <w:rPr>
                <w:sz w:val="20"/>
                <w:szCs w:val="20"/>
              </w:rPr>
            </w:pPr>
            <w:r>
              <w:rPr>
                <w:i/>
                <w:iCs/>
                <w:sz w:val="20"/>
                <w:szCs w:val="20"/>
              </w:rPr>
              <w:t>Success will be achieved by:</w:t>
            </w:r>
            <w:r>
              <w:rPr>
                <w:sz w:val="20"/>
                <w:szCs w:val="20"/>
              </w:rPr>
              <w:t xml:space="preserve"> A variety of affordable options for people to rent or buy a home.</w:t>
            </w:r>
          </w:p>
          <w:p w14:paraId="4DB900CF" w14:textId="77777777" w:rsidR="00B764FC" w:rsidRDefault="00B764FC">
            <w:pPr>
              <w:pStyle w:val="paragraph"/>
              <w:spacing w:before="0" w:after="0"/>
            </w:pPr>
          </w:p>
        </w:tc>
      </w:tr>
      <w:tr w:rsidR="00B764FC" w14:paraId="692ACEE1" w14:textId="77777777" w:rsidTr="00B831C1">
        <w:tc>
          <w:tcPr>
            <w:tcW w:w="9498" w:type="dxa"/>
            <w:gridSpan w:val="5"/>
            <w:tcBorders>
              <w:left w:val="nil"/>
              <w:right w:val="nil"/>
            </w:tcBorders>
            <w:shd w:val="clear" w:color="auto" w:fill="002060"/>
          </w:tcPr>
          <w:p w14:paraId="18A410F2" w14:textId="77777777" w:rsidR="00B764FC" w:rsidRDefault="00B764FC">
            <w:pPr>
              <w:spacing w:line="276" w:lineRule="auto"/>
              <w:jc w:val="center"/>
              <w:rPr>
                <w:b/>
                <w:bCs/>
                <w:sz w:val="20"/>
                <w:szCs w:val="20"/>
              </w:rPr>
            </w:pPr>
            <w:r>
              <w:rPr>
                <w:b/>
                <w:bCs/>
                <w:color w:val="FFFFFF"/>
                <w:sz w:val="20"/>
                <w:szCs w:val="20"/>
              </w:rPr>
              <w:t>PURPOSE OF SOCIAL HOUSING PLAN</w:t>
            </w:r>
          </w:p>
        </w:tc>
      </w:tr>
      <w:tr w:rsidR="00B764FC" w14:paraId="48BD4B75" w14:textId="77777777">
        <w:tc>
          <w:tcPr>
            <w:tcW w:w="9498" w:type="dxa"/>
            <w:gridSpan w:val="5"/>
            <w:tcBorders>
              <w:left w:val="nil"/>
              <w:right w:val="nil"/>
            </w:tcBorders>
            <w:vAlign w:val="center"/>
          </w:tcPr>
          <w:p w14:paraId="2A4F8C12" w14:textId="77777777" w:rsidR="00B764FC" w:rsidRDefault="00B764FC">
            <w:pPr>
              <w:spacing w:line="276" w:lineRule="auto"/>
              <w:ind w:left="34" w:right="34"/>
              <w:jc w:val="center"/>
              <w:rPr>
                <w:sz w:val="20"/>
                <w:szCs w:val="20"/>
              </w:rPr>
            </w:pPr>
            <w:r>
              <w:rPr>
                <w:rStyle w:val="normaltextrun"/>
                <w:sz w:val="20"/>
                <w:szCs w:val="20"/>
              </w:rPr>
              <w:t>The City’s Social Housing Plan reflects the Greater Geelong community values of access to affordable housing and support for vulnerable community members. The Plan provides a framework designed to meet the housing needs of the lowest income households in the community.</w:t>
            </w:r>
            <w:r>
              <w:rPr>
                <w:rStyle w:val="eop"/>
                <w:sz w:val="20"/>
                <w:szCs w:val="20"/>
              </w:rPr>
              <w:t> </w:t>
            </w:r>
          </w:p>
        </w:tc>
      </w:tr>
      <w:tr w:rsidR="00B764FC" w14:paraId="47CE743D" w14:textId="77777777" w:rsidTr="00B831C1">
        <w:trPr>
          <w:trHeight w:val="227"/>
        </w:trPr>
        <w:tc>
          <w:tcPr>
            <w:tcW w:w="9498" w:type="dxa"/>
            <w:gridSpan w:val="5"/>
            <w:tcBorders>
              <w:left w:val="nil"/>
              <w:right w:val="nil"/>
            </w:tcBorders>
            <w:shd w:val="clear" w:color="auto" w:fill="002060"/>
          </w:tcPr>
          <w:p w14:paraId="210494D5" w14:textId="77777777" w:rsidR="00B764FC" w:rsidRDefault="00B764FC">
            <w:pPr>
              <w:spacing w:line="276" w:lineRule="auto"/>
              <w:jc w:val="center"/>
              <w:rPr>
                <w:b/>
                <w:bCs/>
                <w:sz w:val="20"/>
                <w:szCs w:val="20"/>
              </w:rPr>
            </w:pPr>
            <w:r>
              <w:rPr>
                <w:b/>
                <w:bCs/>
                <w:color w:val="FFFFFF"/>
                <w:sz w:val="20"/>
                <w:szCs w:val="20"/>
              </w:rPr>
              <w:t>STRATEGIES</w:t>
            </w:r>
          </w:p>
        </w:tc>
      </w:tr>
      <w:tr w:rsidR="00B764FC" w14:paraId="49E1C377" w14:textId="77777777" w:rsidTr="00077040">
        <w:tc>
          <w:tcPr>
            <w:tcW w:w="2264" w:type="dxa"/>
            <w:gridSpan w:val="2"/>
            <w:tcBorders>
              <w:left w:val="nil"/>
            </w:tcBorders>
            <w:vAlign w:val="center"/>
          </w:tcPr>
          <w:p w14:paraId="564E1F3A" w14:textId="4CB91009" w:rsidR="00B764FC" w:rsidRDefault="00E62F41" w:rsidP="00E62F41">
            <w:pPr>
              <w:ind w:left="31" w:hanging="31"/>
              <w:jc w:val="center"/>
              <w:rPr>
                <w:sz w:val="20"/>
                <w:szCs w:val="20"/>
              </w:rPr>
            </w:pPr>
            <w:r>
              <w:rPr>
                <w:sz w:val="20"/>
                <w:szCs w:val="20"/>
              </w:rPr>
              <w:t>Consider the suitability of</w:t>
            </w:r>
            <w:r w:rsidR="00B764FC">
              <w:rPr>
                <w:sz w:val="20"/>
                <w:szCs w:val="20"/>
              </w:rPr>
              <w:t xml:space="preserve"> council owned land </w:t>
            </w:r>
            <w:r>
              <w:rPr>
                <w:sz w:val="20"/>
                <w:szCs w:val="20"/>
              </w:rPr>
              <w:t xml:space="preserve">which </w:t>
            </w:r>
            <w:r w:rsidR="00B764FC">
              <w:rPr>
                <w:sz w:val="20"/>
                <w:szCs w:val="20"/>
              </w:rPr>
              <w:t>is identified as surplus</w:t>
            </w:r>
            <w:r>
              <w:rPr>
                <w:sz w:val="20"/>
                <w:szCs w:val="20"/>
              </w:rPr>
              <w:t>, for</w:t>
            </w:r>
            <w:r w:rsidR="00B764FC">
              <w:rPr>
                <w:sz w:val="20"/>
                <w:szCs w:val="20"/>
              </w:rPr>
              <w:t xml:space="preserve"> </w:t>
            </w:r>
            <w:r>
              <w:rPr>
                <w:sz w:val="20"/>
                <w:szCs w:val="20"/>
              </w:rPr>
              <w:t>social housing</w:t>
            </w:r>
            <w:r w:rsidR="00B764FC">
              <w:rPr>
                <w:sz w:val="20"/>
                <w:szCs w:val="20"/>
              </w:rPr>
              <w:t xml:space="preserve"> </w:t>
            </w:r>
          </w:p>
        </w:tc>
        <w:tc>
          <w:tcPr>
            <w:tcW w:w="2486" w:type="dxa"/>
            <w:vAlign w:val="center"/>
          </w:tcPr>
          <w:p w14:paraId="0E10D076" w14:textId="73D84AFC" w:rsidR="00B764FC" w:rsidRDefault="00E62F41" w:rsidP="00E62F41">
            <w:pPr>
              <w:spacing w:after="240"/>
              <w:jc w:val="center"/>
              <w:rPr>
                <w:sz w:val="20"/>
                <w:szCs w:val="20"/>
              </w:rPr>
            </w:pPr>
            <w:r>
              <w:rPr>
                <w:sz w:val="20"/>
                <w:szCs w:val="20"/>
              </w:rPr>
              <w:t>Update and complete u</w:t>
            </w:r>
            <w:r w:rsidR="00B764FC">
              <w:rPr>
                <w:sz w:val="20"/>
                <w:szCs w:val="20"/>
              </w:rPr>
              <w:t>rban renewal plans for areas of high public housing concentration (Corio, Norlane, and Whittington)</w:t>
            </w:r>
          </w:p>
        </w:tc>
        <w:tc>
          <w:tcPr>
            <w:tcW w:w="2268" w:type="dxa"/>
            <w:vAlign w:val="center"/>
          </w:tcPr>
          <w:p w14:paraId="3619F0EC" w14:textId="77777777" w:rsidR="00B764FC" w:rsidRDefault="00B764FC">
            <w:pPr>
              <w:spacing w:after="240"/>
              <w:jc w:val="center"/>
              <w:rPr>
                <w:sz w:val="20"/>
                <w:szCs w:val="20"/>
              </w:rPr>
            </w:pPr>
            <w:r>
              <w:rPr>
                <w:sz w:val="20"/>
                <w:szCs w:val="20"/>
              </w:rPr>
              <w:t>Negotiate the inclusion of social housing in all new private developments where rezoning and planning approvals add value to land</w:t>
            </w:r>
          </w:p>
        </w:tc>
        <w:tc>
          <w:tcPr>
            <w:tcW w:w="2480" w:type="dxa"/>
            <w:tcBorders>
              <w:right w:val="nil"/>
            </w:tcBorders>
            <w:vAlign w:val="center"/>
          </w:tcPr>
          <w:p w14:paraId="1C3C4E1A" w14:textId="77777777" w:rsidR="00B764FC" w:rsidRDefault="00B764FC">
            <w:pPr>
              <w:spacing w:after="240"/>
              <w:jc w:val="center"/>
              <w:rPr>
                <w:sz w:val="20"/>
                <w:szCs w:val="20"/>
              </w:rPr>
            </w:pPr>
            <w:r>
              <w:rPr>
                <w:sz w:val="20"/>
                <w:szCs w:val="20"/>
              </w:rPr>
              <w:t>Maximise State and Commonwealth investment in new Social Housing in the municipality</w:t>
            </w:r>
          </w:p>
          <w:p w14:paraId="508CF00B" w14:textId="77777777" w:rsidR="00B764FC" w:rsidRDefault="00B764FC">
            <w:pPr>
              <w:spacing w:after="240"/>
              <w:jc w:val="center"/>
              <w:rPr>
                <w:sz w:val="20"/>
                <w:szCs w:val="20"/>
              </w:rPr>
            </w:pPr>
          </w:p>
        </w:tc>
      </w:tr>
      <w:tr w:rsidR="00B764FC" w14:paraId="3192F941" w14:textId="77777777" w:rsidTr="00B831C1">
        <w:tc>
          <w:tcPr>
            <w:tcW w:w="9498" w:type="dxa"/>
            <w:gridSpan w:val="5"/>
            <w:tcBorders>
              <w:left w:val="nil"/>
              <w:right w:val="nil"/>
            </w:tcBorders>
            <w:shd w:val="clear" w:color="auto" w:fill="002060"/>
          </w:tcPr>
          <w:p w14:paraId="75149487" w14:textId="77777777" w:rsidR="00B764FC" w:rsidRDefault="00B764FC">
            <w:pPr>
              <w:spacing w:line="276" w:lineRule="auto"/>
              <w:jc w:val="center"/>
              <w:rPr>
                <w:b/>
                <w:bCs/>
                <w:sz w:val="20"/>
                <w:szCs w:val="20"/>
              </w:rPr>
            </w:pPr>
            <w:r>
              <w:rPr>
                <w:b/>
                <w:bCs/>
                <w:color w:val="FFFFFF"/>
                <w:sz w:val="20"/>
                <w:szCs w:val="20"/>
              </w:rPr>
              <w:t>SOCIAL HOUSING PLAN TARGETS</w:t>
            </w:r>
          </w:p>
        </w:tc>
      </w:tr>
      <w:tr w:rsidR="00B764FC" w14:paraId="7DB340F4" w14:textId="77777777">
        <w:tc>
          <w:tcPr>
            <w:tcW w:w="9498" w:type="dxa"/>
            <w:gridSpan w:val="5"/>
            <w:tcBorders>
              <w:left w:val="nil"/>
              <w:right w:val="nil"/>
            </w:tcBorders>
            <w:vAlign w:val="center"/>
          </w:tcPr>
          <w:p w14:paraId="6E70EFFA" w14:textId="77777777" w:rsidR="00B764FC" w:rsidRDefault="00B764FC">
            <w:pPr>
              <w:spacing w:line="276" w:lineRule="auto"/>
              <w:ind w:left="34" w:right="34"/>
              <w:jc w:val="center"/>
              <w:rPr>
                <w:sz w:val="20"/>
                <w:szCs w:val="20"/>
              </w:rPr>
            </w:pPr>
            <w:r>
              <w:rPr>
                <w:sz w:val="20"/>
                <w:szCs w:val="20"/>
              </w:rPr>
              <w:t xml:space="preserve">Increase the supply of social housing from the current 3% to </w:t>
            </w:r>
            <w:r>
              <w:rPr>
                <w:b/>
                <w:bCs/>
                <w:sz w:val="20"/>
                <w:szCs w:val="20"/>
              </w:rPr>
              <w:t>7% by 2031</w:t>
            </w:r>
            <w:r>
              <w:rPr>
                <w:sz w:val="20"/>
                <w:szCs w:val="20"/>
              </w:rPr>
              <w:t xml:space="preserve"> (an estimated increase in supply of 6,750 dwellings including the replacement of 750 existing public housing dwellings.)</w:t>
            </w:r>
          </w:p>
        </w:tc>
      </w:tr>
      <w:tr w:rsidR="00B764FC" w14:paraId="1E77CCA2" w14:textId="77777777">
        <w:tc>
          <w:tcPr>
            <w:tcW w:w="9498" w:type="dxa"/>
            <w:gridSpan w:val="5"/>
            <w:tcBorders>
              <w:left w:val="nil"/>
              <w:right w:val="nil"/>
            </w:tcBorders>
            <w:vAlign w:val="center"/>
          </w:tcPr>
          <w:p w14:paraId="60CFC9A6" w14:textId="0CF9B0E1" w:rsidR="00B764FC" w:rsidRDefault="00B764FC">
            <w:pPr>
              <w:spacing w:line="276" w:lineRule="auto"/>
              <w:ind w:left="34" w:right="34"/>
              <w:jc w:val="center"/>
              <w:rPr>
                <w:sz w:val="20"/>
                <w:szCs w:val="20"/>
              </w:rPr>
            </w:pPr>
            <w:r>
              <w:rPr>
                <w:sz w:val="20"/>
                <w:szCs w:val="20"/>
              </w:rPr>
              <w:t xml:space="preserve">Increase the supply of social housing from the proposed </w:t>
            </w:r>
            <w:bookmarkStart w:id="7" w:name="_Hlk21621181"/>
            <w:r>
              <w:rPr>
                <w:sz w:val="20"/>
                <w:szCs w:val="20"/>
              </w:rPr>
              <w:t xml:space="preserve">7% in 2031 to </w:t>
            </w:r>
            <w:r>
              <w:rPr>
                <w:b/>
                <w:bCs/>
                <w:sz w:val="20"/>
                <w:szCs w:val="20"/>
              </w:rPr>
              <w:t>10% by 2041</w:t>
            </w:r>
            <w:r>
              <w:rPr>
                <w:sz w:val="20"/>
                <w:szCs w:val="20"/>
              </w:rPr>
              <w:t xml:space="preserve"> </w:t>
            </w:r>
            <w:bookmarkEnd w:id="7"/>
            <w:r>
              <w:rPr>
                <w:sz w:val="20"/>
                <w:szCs w:val="20"/>
              </w:rPr>
              <w:t>(an estimated further increase in supply of 6,750 dwellings including the replacement of 750 existing public housing dwellings.)</w:t>
            </w:r>
          </w:p>
        </w:tc>
      </w:tr>
      <w:tr w:rsidR="00B764FC" w14:paraId="0915663F" w14:textId="77777777" w:rsidTr="00B831C1">
        <w:tc>
          <w:tcPr>
            <w:tcW w:w="9498" w:type="dxa"/>
            <w:gridSpan w:val="5"/>
            <w:tcBorders>
              <w:left w:val="nil"/>
              <w:right w:val="nil"/>
            </w:tcBorders>
            <w:shd w:val="clear" w:color="auto" w:fill="002060"/>
            <w:vAlign w:val="center"/>
          </w:tcPr>
          <w:p w14:paraId="74F228D5" w14:textId="77777777" w:rsidR="00B764FC" w:rsidRDefault="00B764FC">
            <w:pPr>
              <w:spacing w:line="276" w:lineRule="auto"/>
              <w:ind w:left="34" w:right="34"/>
              <w:jc w:val="center"/>
              <w:rPr>
                <w:b/>
                <w:bCs/>
                <w:color w:val="FFFFFF"/>
                <w:sz w:val="20"/>
                <w:szCs w:val="20"/>
              </w:rPr>
            </w:pPr>
            <w:r>
              <w:rPr>
                <w:b/>
                <w:bCs/>
                <w:color w:val="FFFFFF"/>
                <w:sz w:val="20"/>
                <w:szCs w:val="20"/>
              </w:rPr>
              <w:t xml:space="preserve">ROLES FOR COUNCIL </w:t>
            </w:r>
          </w:p>
        </w:tc>
      </w:tr>
      <w:tr w:rsidR="00B764FC" w14:paraId="28EA8B4F" w14:textId="77777777">
        <w:tc>
          <w:tcPr>
            <w:tcW w:w="2144" w:type="dxa"/>
            <w:tcBorders>
              <w:left w:val="nil"/>
            </w:tcBorders>
            <w:vAlign w:val="center"/>
          </w:tcPr>
          <w:p w14:paraId="150043E6" w14:textId="77777777" w:rsidR="00B764FC" w:rsidRDefault="00B764FC">
            <w:pPr>
              <w:spacing w:line="276" w:lineRule="auto"/>
              <w:ind w:left="34" w:right="34"/>
              <w:jc w:val="center"/>
              <w:rPr>
                <w:sz w:val="20"/>
                <w:szCs w:val="20"/>
              </w:rPr>
            </w:pPr>
            <w:r>
              <w:rPr>
                <w:b/>
                <w:bCs/>
                <w:sz w:val="20"/>
                <w:szCs w:val="20"/>
                <w:lang w:val="en-US"/>
              </w:rPr>
              <w:t>Leadership</w:t>
            </w:r>
          </w:p>
        </w:tc>
        <w:tc>
          <w:tcPr>
            <w:tcW w:w="7354" w:type="dxa"/>
            <w:gridSpan w:val="4"/>
            <w:tcBorders>
              <w:right w:val="nil"/>
            </w:tcBorders>
            <w:vAlign w:val="center"/>
          </w:tcPr>
          <w:p w14:paraId="46398D32" w14:textId="77777777" w:rsidR="00B764FC" w:rsidRDefault="00B764FC">
            <w:pPr>
              <w:spacing w:line="276" w:lineRule="auto"/>
              <w:ind w:left="34" w:right="34"/>
              <w:rPr>
                <w:sz w:val="20"/>
                <w:szCs w:val="20"/>
              </w:rPr>
            </w:pPr>
            <w:r>
              <w:rPr>
                <w:sz w:val="20"/>
                <w:szCs w:val="20"/>
              </w:rPr>
              <w:t>Assume a leadership role in advocating for an increase in social housing in public policy and in the local community</w:t>
            </w:r>
          </w:p>
        </w:tc>
      </w:tr>
      <w:tr w:rsidR="00B764FC" w14:paraId="79360935" w14:textId="77777777">
        <w:tc>
          <w:tcPr>
            <w:tcW w:w="2144" w:type="dxa"/>
            <w:tcBorders>
              <w:left w:val="nil"/>
            </w:tcBorders>
            <w:shd w:val="clear" w:color="auto" w:fill="FFFFFF"/>
            <w:vAlign w:val="center"/>
          </w:tcPr>
          <w:p w14:paraId="48EF2EDD" w14:textId="77777777" w:rsidR="00B764FC" w:rsidRDefault="00B764FC">
            <w:pPr>
              <w:spacing w:line="276" w:lineRule="auto"/>
              <w:ind w:left="34" w:right="34"/>
              <w:jc w:val="center"/>
              <w:rPr>
                <w:sz w:val="20"/>
                <w:szCs w:val="20"/>
              </w:rPr>
            </w:pPr>
            <w:r>
              <w:rPr>
                <w:b/>
                <w:bCs/>
                <w:sz w:val="20"/>
                <w:szCs w:val="20"/>
              </w:rPr>
              <w:t>Investment</w:t>
            </w:r>
          </w:p>
        </w:tc>
        <w:tc>
          <w:tcPr>
            <w:tcW w:w="7354" w:type="dxa"/>
            <w:gridSpan w:val="4"/>
            <w:tcBorders>
              <w:right w:val="nil"/>
            </w:tcBorders>
            <w:shd w:val="clear" w:color="auto" w:fill="FFFFFF"/>
            <w:vAlign w:val="center"/>
          </w:tcPr>
          <w:p w14:paraId="1AE5B3F9" w14:textId="77777777" w:rsidR="00B764FC" w:rsidRDefault="00B764FC">
            <w:pPr>
              <w:spacing w:line="276" w:lineRule="auto"/>
              <w:ind w:left="34" w:right="34"/>
              <w:rPr>
                <w:sz w:val="20"/>
                <w:szCs w:val="20"/>
              </w:rPr>
            </w:pPr>
            <w:r>
              <w:rPr>
                <w:sz w:val="20"/>
                <w:szCs w:val="20"/>
              </w:rPr>
              <w:t>Evaluate the suitability of surplus Council land for social housing which leverages significant funding from State and Commonwealth Governments</w:t>
            </w:r>
          </w:p>
        </w:tc>
      </w:tr>
      <w:tr w:rsidR="00B764FC" w14:paraId="57EAD579" w14:textId="77777777">
        <w:tc>
          <w:tcPr>
            <w:tcW w:w="2144" w:type="dxa"/>
            <w:tcBorders>
              <w:left w:val="nil"/>
            </w:tcBorders>
            <w:vAlign w:val="center"/>
          </w:tcPr>
          <w:p w14:paraId="290C2779" w14:textId="77777777" w:rsidR="00B764FC" w:rsidRDefault="00B764FC">
            <w:pPr>
              <w:spacing w:line="276" w:lineRule="auto"/>
              <w:ind w:left="34" w:right="34"/>
              <w:jc w:val="center"/>
              <w:rPr>
                <w:sz w:val="20"/>
                <w:szCs w:val="20"/>
              </w:rPr>
            </w:pPr>
            <w:r>
              <w:rPr>
                <w:b/>
                <w:bCs/>
                <w:sz w:val="20"/>
                <w:szCs w:val="20"/>
              </w:rPr>
              <w:t>Partnerships</w:t>
            </w:r>
          </w:p>
        </w:tc>
        <w:tc>
          <w:tcPr>
            <w:tcW w:w="7354" w:type="dxa"/>
            <w:gridSpan w:val="4"/>
            <w:tcBorders>
              <w:right w:val="nil"/>
            </w:tcBorders>
            <w:vAlign w:val="center"/>
          </w:tcPr>
          <w:p w14:paraId="5253121D" w14:textId="77777777" w:rsidR="00B764FC" w:rsidRDefault="00B764FC">
            <w:pPr>
              <w:spacing w:line="276" w:lineRule="auto"/>
              <w:ind w:left="34" w:right="34"/>
              <w:rPr>
                <w:sz w:val="20"/>
                <w:szCs w:val="20"/>
              </w:rPr>
            </w:pPr>
            <w:r>
              <w:rPr>
                <w:sz w:val="20"/>
                <w:szCs w:val="20"/>
                <w:lang w:val="en-US"/>
              </w:rPr>
              <w:t xml:space="preserve">Develop partnership agreements with Commonwealth and State Governments for investment in social housing which expands the supply of social housing in Geelong </w:t>
            </w:r>
          </w:p>
        </w:tc>
      </w:tr>
      <w:tr w:rsidR="00B764FC" w14:paraId="04EADD68" w14:textId="77777777">
        <w:tc>
          <w:tcPr>
            <w:tcW w:w="2144" w:type="dxa"/>
            <w:tcBorders>
              <w:left w:val="nil"/>
            </w:tcBorders>
            <w:shd w:val="clear" w:color="auto" w:fill="FFFFFF"/>
            <w:vAlign w:val="center"/>
          </w:tcPr>
          <w:p w14:paraId="670C7538" w14:textId="77777777" w:rsidR="00B764FC" w:rsidRDefault="00B764FC">
            <w:pPr>
              <w:spacing w:line="276" w:lineRule="auto"/>
              <w:ind w:left="34" w:right="34"/>
              <w:jc w:val="center"/>
              <w:rPr>
                <w:sz w:val="20"/>
                <w:szCs w:val="20"/>
              </w:rPr>
            </w:pPr>
            <w:r>
              <w:rPr>
                <w:b/>
                <w:bCs/>
                <w:sz w:val="20"/>
                <w:szCs w:val="20"/>
              </w:rPr>
              <w:t>Planning</w:t>
            </w:r>
          </w:p>
        </w:tc>
        <w:tc>
          <w:tcPr>
            <w:tcW w:w="7354" w:type="dxa"/>
            <w:gridSpan w:val="4"/>
            <w:tcBorders>
              <w:right w:val="nil"/>
            </w:tcBorders>
            <w:shd w:val="clear" w:color="auto" w:fill="FFFFFF"/>
            <w:vAlign w:val="center"/>
          </w:tcPr>
          <w:p w14:paraId="63F9E59E" w14:textId="77777777" w:rsidR="00B764FC" w:rsidRDefault="00B764FC">
            <w:pPr>
              <w:spacing w:line="276" w:lineRule="auto"/>
              <w:ind w:left="34" w:right="34"/>
              <w:rPr>
                <w:sz w:val="20"/>
                <w:szCs w:val="20"/>
              </w:rPr>
            </w:pPr>
            <w:r>
              <w:rPr>
                <w:sz w:val="20"/>
                <w:szCs w:val="20"/>
              </w:rPr>
              <w:t>Negotiate the inclusion of social housing in all new private developments where rezoning and planning approvals add value to land</w:t>
            </w:r>
          </w:p>
        </w:tc>
      </w:tr>
      <w:tr w:rsidR="00B764FC" w14:paraId="68D4E15D" w14:textId="77777777">
        <w:tc>
          <w:tcPr>
            <w:tcW w:w="2144" w:type="dxa"/>
            <w:tcBorders>
              <w:left w:val="nil"/>
            </w:tcBorders>
            <w:vAlign w:val="center"/>
          </w:tcPr>
          <w:p w14:paraId="413C8DB0" w14:textId="77777777" w:rsidR="00B764FC" w:rsidRDefault="00B764FC">
            <w:pPr>
              <w:spacing w:line="276" w:lineRule="auto"/>
              <w:ind w:left="34" w:right="34"/>
              <w:jc w:val="center"/>
              <w:rPr>
                <w:sz w:val="20"/>
                <w:szCs w:val="20"/>
              </w:rPr>
            </w:pPr>
            <w:r>
              <w:rPr>
                <w:b/>
                <w:bCs/>
                <w:sz w:val="20"/>
                <w:szCs w:val="20"/>
                <w:lang w:val="en-US"/>
              </w:rPr>
              <w:t>Urban Renewal</w:t>
            </w:r>
          </w:p>
        </w:tc>
        <w:tc>
          <w:tcPr>
            <w:tcW w:w="7354" w:type="dxa"/>
            <w:gridSpan w:val="4"/>
            <w:tcBorders>
              <w:right w:val="nil"/>
            </w:tcBorders>
            <w:vAlign w:val="center"/>
          </w:tcPr>
          <w:p w14:paraId="4B146789" w14:textId="77777777" w:rsidR="00B764FC" w:rsidRDefault="00B764FC">
            <w:pPr>
              <w:spacing w:line="276" w:lineRule="auto"/>
              <w:ind w:left="34" w:right="34"/>
              <w:rPr>
                <w:sz w:val="20"/>
                <w:szCs w:val="20"/>
              </w:rPr>
            </w:pPr>
            <w:r>
              <w:rPr>
                <w:sz w:val="20"/>
                <w:szCs w:val="20"/>
                <w:lang w:val="en-US"/>
              </w:rPr>
              <w:t xml:space="preserve">Contribute to continued urban renewal plans for Corio, Norlane and Whittington </w:t>
            </w:r>
          </w:p>
        </w:tc>
      </w:tr>
      <w:tr w:rsidR="00B764FC" w14:paraId="2855E2D1" w14:textId="77777777">
        <w:tc>
          <w:tcPr>
            <w:tcW w:w="2144" w:type="dxa"/>
            <w:tcBorders>
              <w:left w:val="nil"/>
            </w:tcBorders>
            <w:shd w:val="clear" w:color="auto" w:fill="FFFFFF"/>
            <w:vAlign w:val="center"/>
          </w:tcPr>
          <w:p w14:paraId="49D68A85" w14:textId="77777777" w:rsidR="00B764FC" w:rsidRDefault="00B764FC">
            <w:pPr>
              <w:spacing w:line="276" w:lineRule="auto"/>
              <w:ind w:left="34" w:right="34"/>
              <w:jc w:val="center"/>
              <w:rPr>
                <w:b/>
                <w:bCs/>
                <w:sz w:val="20"/>
                <w:szCs w:val="20"/>
                <w:lang w:val="en-US"/>
              </w:rPr>
            </w:pPr>
            <w:r>
              <w:rPr>
                <w:b/>
                <w:bCs/>
                <w:sz w:val="20"/>
                <w:szCs w:val="20"/>
                <w:lang w:val="en-US"/>
              </w:rPr>
              <w:t>Capacity Building</w:t>
            </w:r>
          </w:p>
        </w:tc>
        <w:tc>
          <w:tcPr>
            <w:tcW w:w="7354" w:type="dxa"/>
            <w:gridSpan w:val="4"/>
            <w:tcBorders>
              <w:right w:val="nil"/>
            </w:tcBorders>
            <w:shd w:val="clear" w:color="auto" w:fill="FFFFFF"/>
            <w:vAlign w:val="center"/>
          </w:tcPr>
          <w:p w14:paraId="468CF312" w14:textId="77777777" w:rsidR="00B764FC" w:rsidRDefault="00B764FC">
            <w:pPr>
              <w:spacing w:line="276" w:lineRule="auto"/>
              <w:ind w:left="34" w:right="34"/>
              <w:rPr>
                <w:sz w:val="20"/>
                <w:szCs w:val="20"/>
              </w:rPr>
            </w:pPr>
            <w:r>
              <w:rPr>
                <w:sz w:val="20"/>
                <w:szCs w:val="20"/>
              </w:rPr>
              <w:t>Develop the capacity of the City of Greater Geelong to manage the implementation of the Social Housing Plan by establishing essential elements of local infrastructure needed to support an increase in social housing</w:t>
            </w:r>
          </w:p>
        </w:tc>
      </w:tr>
    </w:tbl>
    <w:p w14:paraId="01EB2746" w14:textId="77777777" w:rsidR="00B764FC" w:rsidRDefault="00B764FC">
      <w:pPr>
        <w:rPr>
          <w:rFonts w:ascii="Circular Std Book" w:hAnsi="Circular Std Book" w:cs="Circular Std Book"/>
          <w:b/>
          <w:bCs/>
          <w:color w:val="000000"/>
          <w:sz w:val="28"/>
          <w:szCs w:val="28"/>
        </w:rPr>
      </w:pPr>
      <w:r>
        <w:br w:type="page"/>
      </w:r>
    </w:p>
    <w:p w14:paraId="354E5683" w14:textId="77777777" w:rsidR="00B764FC" w:rsidRPr="00B831C1" w:rsidRDefault="00B764FC">
      <w:pPr>
        <w:pStyle w:val="Heading2"/>
      </w:pPr>
      <w:bookmarkStart w:id="8" w:name="_Toc22120149"/>
      <w:r w:rsidRPr="00B831C1">
        <w:lastRenderedPageBreak/>
        <w:t>1.2 A Social Housing Plan Based on Partnerships</w:t>
      </w:r>
      <w:bookmarkEnd w:id="8"/>
    </w:p>
    <w:p w14:paraId="207F4CE8" w14:textId="06B43791" w:rsidR="00B764FC" w:rsidRDefault="00B764FC" w:rsidP="00017FA2">
      <w:pPr>
        <w:spacing w:line="276" w:lineRule="auto"/>
        <w:jc w:val="both"/>
      </w:pPr>
      <w:r>
        <w:rPr>
          <w:sz w:val="22"/>
          <w:szCs w:val="22"/>
        </w:rPr>
        <w:t xml:space="preserve">State Government has the constitutional responsibility to plan for and provide housing assistance, including social housing. </w:t>
      </w:r>
      <w:r w:rsidR="00E62F41">
        <w:rPr>
          <w:sz w:val="22"/>
          <w:szCs w:val="22"/>
        </w:rPr>
        <w:t xml:space="preserve">Local Government is not the level of government responsible for the delivery of social housing. </w:t>
      </w:r>
      <w:r w:rsidR="00017FA2">
        <w:rPr>
          <w:sz w:val="22"/>
          <w:szCs w:val="22"/>
        </w:rPr>
        <w:t xml:space="preserve"> However, </w:t>
      </w:r>
      <w:r>
        <w:rPr>
          <w:sz w:val="22"/>
          <w:szCs w:val="22"/>
        </w:rPr>
        <w:t>as the level of government closest to the community, Local Government has the closest understanding of local issues such as homelessness and housing poverty. Local Government also has the closest understanding of the impact of the lack of social housing on individuals and families. In turn, Local Government carries most of the burden of supporting people when housing costs force them into poverty, contribute to physical and mental health problems, and eventually leading to crisis.</w:t>
      </w:r>
      <w:r w:rsidR="00017FA2">
        <w:rPr>
          <w:sz w:val="22"/>
          <w:szCs w:val="22"/>
        </w:rPr>
        <w:t xml:space="preserve"> </w:t>
      </w:r>
      <w:r w:rsidRPr="003F5F98">
        <w:rPr>
          <w:sz w:val="22"/>
          <w:szCs w:val="22"/>
        </w:rPr>
        <w:t xml:space="preserve">However, Local Government does </w:t>
      </w:r>
      <w:r w:rsidRPr="003F5F98">
        <w:rPr>
          <w:i/>
          <w:iCs/>
          <w:sz w:val="22"/>
          <w:szCs w:val="22"/>
        </w:rPr>
        <w:t>not</w:t>
      </w:r>
      <w:r w:rsidRPr="003F5F98">
        <w:rPr>
          <w:sz w:val="22"/>
          <w:szCs w:val="22"/>
        </w:rPr>
        <w:t xml:space="preserve"> have the resources necessary to achieve the targets required to address the current and future need for social housing identified within the City of Greater Geelong. </w:t>
      </w:r>
    </w:p>
    <w:p w14:paraId="4EB630D4" w14:textId="77777777" w:rsidR="00B764FC" w:rsidRDefault="00B764FC">
      <w:pPr>
        <w:pStyle w:val="BodyText1"/>
        <w:spacing w:line="276" w:lineRule="auto"/>
        <w:jc w:val="both"/>
        <w:rPr>
          <w:rFonts w:ascii="Calibri" w:hAnsi="Calibri" w:cs="Calibri"/>
        </w:rPr>
      </w:pPr>
    </w:p>
    <w:p w14:paraId="3E7C18F8" w14:textId="77777777" w:rsidR="00B764FC" w:rsidRDefault="00B764FC">
      <w:pPr>
        <w:pStyle w:val="BodyText1"/>
        <w:spacing w:line="276" w:lineRule="auto"/>
        <w:jc w:val="both"/>
        <w:rPr>
          <w:rFonts w:ascii="Calibri" w:hAnsi="Calibri" w:cs="Calibri"/>
        </w:rPr>
      </w:pPr>
      <w:r>
        <w:rPr>
          <w:rFonts w:ascii="Calibri" w:hAnsi="Calibri" w:cs="Calibri"/>
        </w:rPr>
        <w:t xml:space="preserve">The implementation of any Plan to deliver on these targets will therefore depend on the negotiation of a partnership arrangement between the City of Greater Geelong and both the State and Commonwealth Governments. These partnerships will respond to the following key issues that will impact directly on the effectiveness of the City of Greater Geelong </w:t>
      </w:r>
      <w:r>
        <w:rPr>
          <w:rFonts w:ascii="Calibri" w:hAnsi="Calibri" w:cs="Calibri"/>
          <w:i/>
          <w:iCs/>
        </w:rPr>
        <w:t>Social Housing Plan</w:t>
      </w:r>
      <w:r>
        <w:rPr>
          <w:rFonts w:ascii="Calibri" w:hAnsi="Calibri" w:cs="Calibri"/>
        </w:rPr>
        <w:t>:</w:t>
      </w:r>
    </w:p>
    <w:p w14:paraId="39D6C7C6" w14:textId="77777777" w:rsidR="00B764FC" w:rsidRDefault="00B764FC">
      <w:pPr>
        <w:pStyle w:val="BodyText1"/>
        <w:spacing w:line="276" w:lineRule="auto"/>
        <w:jc w:val="both"/>
        <w:rPr>
          <w:rFonts w:ascii="Calibri" w:hAnsi="Calibri" w:cs="Calibri"/>
        </w:rPr>
      </w:pPr>
    </w:p>
    <w:p w14:paraId="7FBABD0F" w14:textId="77777777" w:rsidR="00B764FC" w:rsidRDefault="00B764FC">
      <w:pPr>
        <w:pStyle w:val="BodyText1"/>
        <w:spacing w:after="240" w:line="276" w:lineRule="auto"/>
        <w:jc w:val="both"/>
        <w:rPr>
          <w:rFonts w:ascii="Calibri" w:hAnsi="Calibri" w:cs="Calibri"/>
          <w:b/>
          <w:bCs/>
        </w:rPr>
      </w:pPr>
      <w:r>
        <w:rPr>
          <w:rFonts w:ascii="Calibri" w:hAnsi="Calibri" w:cs="Calibri"/>
          <w:b/>
          <w:bCs/>
        </w:rPr>
        <w:t xml:space="preserve">The scale of investment </w:t>
      </w:r>
      <w:r w:rsidR="00E62F41">
        <w:rPr>
          <w:rFonts w:ascii="Calibri" w:hAnsi="Calibri" w:cs="Calibri"/>
          <w:b/>
          <w:bCs/>
        </w:rPr>
        <w:t xml:space="preserve">required </w:t>
      </w:r>
      <w:r>
        <w:rPr>
          <w:rFonts w:ascii="Calibri" w:hAnsi="Calibri" w:cs="Calibri"/>
          <w:b/>
          <w:bCs/>
        </w:rPr>
        <w:t>in social housing is significant</w:t>
      </w:r>
    </w:p>
    <w:p w14:paraId="39F3E940" w14:textId="6BF56F81" w:rsidR="00B764FC" w:rsidRDefault="00B764FC" w:rsidP="00077040">
      <w:pPr>
        <w:pStyle w:val="BodyText1"/>
        <w:numPr>
          <w:ilvl w:val="0"/>
          <w:numId w:val="41"/>
        </w:numPr>
        <w:spacing w:line="276" w:lineRule="auto"/>
        <w:jc w:val="both"/>
        <w:rPr>
          <w:rFonts w:ascii="Calibri" w:hAnsi="Calibri" w:cs="Calibri"/>
        </w:rPr>
      </w:pPr>
      <w:r>
        <w:rPr>
          <w:rFonts w:ascii="Calibri" w:hAnsi="Calibri" w:cs="Calibri"/>
        </w:rPr>
        <w:t>An estimated 13,500 new dwellings over 20 years including the replacement of 1,500 existing public housing dwellings that will come to the end of their economic life within that period</w:t>
      </w:r>
    </w:p>
    <w:p w14:paraId="5D481F61" w14:textId="091C310C" w:rsidR="00B764FC" w:rsidRDefault="00B764FC" w:rsidP="00077040">
      <w:pPr>
        <w:pStyle w:val="BodyText1"/>
        <w:numPr>
          <w:ilvl w:val="0"/>
          <w:numId w:val="41"/>
        </w:numPr>
        <w:spacing w:line="276" w:lineRule="auto"/>
        <w:jc w:val="both"/>
        <w:rPr>
          <w:rFonts w:ascii="Calibri" w:hAnsi="Calibri" w:cs="Calibri"/>
        </w:rPr>
      </w:pPr>
      <w:r>
        <w:rPr>
          <w:rFonts w:ascii="Calibri" w:hAnsi="Calibri" w:cs="Calibri"/>
        </w:rPr>
        <w:t>This is an average of approximately 675 dwellings per annum at a total development cost of about $235M (assuming an average cost of $350,000)</w:t>
      </w:r>
    </w:p>
    <w:p w14:paraId="32E8B1FE" w14:textId="77777777" w:rsidR="00B764FC" w:rsidRDefault="00B764FC">
      <w:pPr>
        <w:pStyle w:val="BodyText1"/>
        <w:spacing w:line="276" w:lineRule="auto"/>
        <w:jc w:val="both"/>
        <w:rPr>
          <w:rFonts w:ascii="Calibri" w:hAnsi="Calibri" w:cs="Calibri"/>
        </w:rPr>
      </w:pPr>
    </w:p>
    <w:p w14:paraId="24012A60" w14:textId="77777777" w:rsidR="00B764FC" w:rsidRDefault="00B764FC">
      <w:pPr>
        <w:pStyle w:val="BodyText1"/>
        <w:spacing w:after="240" w:line="276" w:lineRule="auto"/>
        <w:jc w:val="both"/>
        <w:rPr>
          <w:rFonts w:ascii="Calibri" w:hAnsi="Calibri" w:cs="Calibri"/>
          <w:b/>
          <w:bCs/>
        </w:rPr>
      </w:pPr>
      <w:r>
        <w:rPr>
          <w:rFonts w:ascii="Calibri" w:hAnsi="Calibri" w:cs="Calibri"/>
          <w:b/>
          <w:bCs/>
        </w:rPr>
        <w:t>Mechanisms are available to Local Government to reduce the cost required to invest in social housing</w:t>
      </w:r>
    </w:p>
    <w:p w14:paraId="5BC37B31" w14:textId="77777777" w:rsidR="00B764FC" w:rsidRDefault="00B764FC" w:rsidP="00077040">
      <w:pPr>
        <w:pStyle w:val="BodyText1"/>
        <w:numPr>
          <w:ilvl w:val="0"/>
          <w:numId w:val="42"/>
        </w:numPr>
        <w:spacing w:line="276" w:lineRule="auto"/>
        <w:jc w:val="both"/>
        <w:rPr>
          <w:rFonts w:ascii="Calibri" w:hAnsi="Calibri" w:cs="Calibri"/>
        </w:rPr>
      </w:pPr>
      <w:r>
        <w:rPr>
          <w:rFonts w:ascii="Calibri" w:hAnsi="Calibri" w:cs="Calibri"/>
        </w:rPr>
        <w:t xml:space="preserve">the value of land contributed by Local, State and Commonwealth Governments, plus contributions negotiated with private developers during planning negotiations, is estimated to be able to lower the overall cost of development of social housing by about 20% on average; and </w:t>
      </w:r>
    </w:p>
    <w:p w14:paraId="7559EA3A" w14:textId="77777777" w:rsidR="00B764FC" w:rsidRDefault="00B764FC" w:rsidP="00077040">
      <w:pPr>
        <w:pStyle w:val="BodyText1"/>
        <w:numPr>
          <w:ilvl w:val="0"/>
          <w:numId w:val="42"/>
        </w:numPr>
        <w:spacing w:line="276" w:lineRule="auto"/>
        <w:jc w:val="both"/>
        <w:rPr>
          <w:rFonts w:ascii="Calibri" w:hAnsi="Calibri" w:cs="Calibri"/>
        </w:rPr>
      </w:pPr>
      <w:r>
        <w:rPr>
          <w:rFonts w:ascii="Calibri" w:hAnsi="Calibri" w:cs="Calibri"/>
        </w:rPr>
        <w:t xml:space="preserve">the impact of the GST rebate if the social housing is delivered through a Registered Housing Agency will further reduce the cost by about 9%; therefore </w:t>
      </w:r>
    </w:p>
    <w:p w14:paraId="157BB4B3" w14:textId="19925C7F" w:rsidR="00B764FC" w:rsidRDefault="00B764FC" w:rsidP="00077040">
      <w:pPr>
        <w:pStyle w:val="BodyText1"/>
        <w:numPr>
          <w:ilvl w:val="0"/>
          <w:numId w:val="42"/>
        </w:numPr>
        <w:spacing w:line="276" w:lineRule="auto"/>
        <w:jc w:val="both"/>
        <w:rPr>
          <w:rFonts w:ascii="Calibri" w:hAnsi="Calibri" w:cs="Calibri"/>
        </w:rPr>
      </w:pPr>
      <w:r>
        <w:rPr>
          <w:rFonts w:ascii="Calibri" w:hAnsi="Calibri" w:cs="Calibri"/>
        </w:rPr>
        <w:t xml:space="preserve">the total annual </w:t>
      </w:r>
      <w:r w:rsidR="00E62F41">
        <w:rPr>
          <w:rFonts w:ascii="Calibri" w:hAnsi="Calibri" w:cs="Calibri"/>
        </w:rPr>
        <w:t xml:space="preserve">net </w:t>
      </w:r>
      <w:r>
        <w:rPr>
          <w:rFonts w:ascii="Calibri" w:hAnsi="Calibri" w:cs="Calibri"/>
        </w:rPr>
        <w:t>cost to develop this quantum of social housing is in the order of $170M per annum.</w:t>
      </w:r>
    </w:p>
    <w:p w14:paraId="45CFF3CB" w14:textId="77777777" w:rsidR="00B764FC" w:rsidRDefault="00B764FC">
      <w:pPr>
        <w:pStyle w:val="BodyText1"/>
        <w:spacing w:line="276" w:lineRule="auto"/>
        <w:jc w:val="both"/>
        <w:rPr>
          <w:rFonts w:ascii="Calibri" w:hAnsi="Calibri" w:cs="Calibri"/>
        </w:rPr>
      </w:pPr>
    </w:p>
    <w:p w14:paraId="55C8987F" w14:textId="2AA16B6D" w:rsidR="00B764FC" w:rsidRDefault="00B764FC">
      <w:pPr>
        <w:pStyle w:val="BodyText1"/>
        <w:spacing w:after="240" w:line="276" w:lineRule="auto"/>
        <w:jc w:val="both"/>
        <w:rPr>
          <w:rFonts w:ascii="Calibri" w:hAnsi="Calibri" w:cs="Calibri"/>
          <w:b/>
          <w:bCs/>
        </w:rPr>
      </w:pPr>
      <w:r>
        <w:rPr>
          <w:rFonts w:ascii="Calibri" w:hAnsi="Calibri" w:cs="Calibri"/>
          <w:b/>
          <w:bCs/>
        </w:rPr>
        <w:t xml:space="preserve">The subsidy required to meet the target for social housing is far greater than any return on investment to </w:t>
      </w:r>
      <w:r w:rsidR="00864FA3">
        <w:rPr>
          <w:rFonts w:ascii="Calibri" w:hAnsi="Calibri" w:cs="Calibri"/>
          <w:b/>
          <w:bCs/>
        </w:rPr>
        <w:t xml:space="preserve">the City of Greater Geelong </w:t>
      </w:r>
    </w:p>
    <w:p w14:paraId="0B8F339B" w14:textId="77777777" w:rsidR="00B764FC" w:rsidRDefault="00B764FC" w:rsidP="00077040">
      <w:pPr>
        <w:pStyle w:val="BodyText1"/>
        <w:numPr>
          <w:ilvl w:val="0"/>
          <w:numId w:val="43"/>
        </w:numPr>
        <w:spacing w:line="276" w:lineRule="auto"/>
        <w:jc w:val="both"/>
        <w:rPr>
          <w:rFonts w:ascii="Calibri" w:hAnsi="Calibri" w:cs="Calibri"/>
        </w:rPr>
      </w:pPr>
      <w:r>
        <w:rPr>
          <w:rFonts w:ascii="Calibri" w:hAnsi="Calibri" w:cs="Calibri"/>
        </w:rPr>
        <w:t>the subsidy required to meet the cost of servicing this level of investment, (even if all borrowed through an entity such as the National Housing Finance &amp; Investment Corporation at government bond rates plus margin), would be in the vicinity of $10,000 per dwelling per annum or about $6.5M per annum for the annual target of 643 dwellings; whereas</w:t>
      </w:r>
    </w:p>
    <w:p w14:paraId="0FBB7144" w14:textId="0DA3078C" w:rsidR="00B764FC" w:rsidRDefault="00864FA3" w:rsidP="00077040">
      <w:pPr>
        <w:pStyle w:val="BodyText1"/>
        <w:numPr>
          <w:ilvl w:val="0"/>
          <w:numId w:val="43"/>
        </w:numPr>
        <w:spacing w:line="276" w:lineRule="auto"/>
        <w:jc w:val="both"/>
        <w:rPr>
          <w:rFonts w:ascii="Calibri" w:hAnsi="Calibri" w:cs="Calibri"/>
        </w:rPr>
      </w:pPr>
      <w:r>
        <w:rPr>
          <w:rFonts w:ascii="Calibri" w:hAnsi="Calibri" w:cs="Calibri"/>
        </w:rPr>
        <w:t xml:space="preserve">The City </w:t>
      </w:r>
      <w:r w:rsidR="00B764FC">
        <w:rPr>
          <w:rFonts w:ascii="Calibri" w:hAnsi="Calibri" w:cs="Calibri"/>
        </w:rPr>
        <w:t xml:space="preserve">would only generate about $650K in rate revenue from the </w:t>
      </w:r>
      <w:r w:rsidR="00E62F41">
        <w:rPr>
          <w:rFonts w:ascii="Calibri" w:hAnsi="Calibri" w:cs="Calibri"/>
        </w:rPr>
        <w:t xml:space="preserve">additional </w:t>
      </w:r>
      <w:r w:rsidR="00B764FC">
        <w:rPr>
          <w:rFonts w:ascii="Calibri" w:hAnsi="Calibri" w:cs="Calibri"/>
        </w:rPr>
        <w:t>social housing.</w:t>
      </w:r>
    </w:p>
    <w:p w14:paraId="24F4FAC6" w14:textId="77777777" w:rsidR="00B764FC" w:rsidRDefault="00B764FC">
      <w:pPr>
        <w:pStyle w:val="BodyText1"/>
        <w:spacing w:line="276" w:lineRule="auto"/>
        <w:jc w:val="both"/>
        <w:rPr>
          <w:rFonts w:ascii="Calibri" w:hAnsi="Calibri" w:cs="Calibri"/>
        </w:rPr>
      </w:pPr>
    </w:p>
    <w:p w14:paraId="2ABBD1FF" w14:textId="77777777" w:rsidR="00B764FC" w:rsidRDefault="00B764FC">
      <w:pPr>
        <w:pStyle w:val="BodyText1"/>
        <w:spacing w:after="240" w:line="276" w:lineRule="auto"/>
        <w:jc w:val="both"/>
        <w:rPr>
          <w:rFonts w:ascii="Calibri" w:hAnsi="Calibri" w:cs="Calibri"/>
        </w:rPr>
      </w:pPr>
      <w:r>
        <w:rPr>
          <w:rFonts w:ascii="Calibri" w:hAnsi="Calibri" w:cs="Calibri"/>
        </w:rPr>
        <w:lastRenderedPageBreak/>
        <w:t xml:space="preserve">The central features of the City of Greater Geelong </w:t>
      </w:r>
      <w:r>
        <w:rPr>
          <w:rFonts w:ascii="Calibri" w:hAnsi="Calibri" w:cs="Calibri"/>
          <w:i/>
          <w:iCs/>
        </w:rPr>
        <w:t>Social Housing Plan</w:t>
      </w:r>
      <w:r>
        <w:rPr>
          <w:rFonts w:ascii="Calibri" w:hAnsi="Calibri" w:cs="Calibri"/>
        </w:rPr>
        <w:t xml:space="preserve"> therefore are:</w:t>
      </w:r>
    </w:p>
    <w:p w14:paraId="0273FB75" w14:textId="77777777" w:rsidR="00B764FC" w:rsidRDefault="00B764FC" w:rsidP="00077040">
      <w:pPr>
        <w:pStyle w:val="BodyText1"/>
        <w:numPr>
          <w:ilvl w:val="0"/>
          <w:numId w:val="32"/>
        </w:numPr>
        <w:spacing w:line="276" w:lineRule="auto"/>
        <w:jc w:val="both"/>
        <w:rPr>
          <w:rFonts w:ascii="Calibri" w:hAnsi="Calibri" w:cs="Calibri"/>
        </w:rPr>
      </w:pPr>
      <w:r>
        <w:rPr>
          <w:rFonts w:ascii="Calibri" w:hAnsi="Calibri" w:cs="Calibri"/>
        </w:rPr>
        <w:t xml:space="preserve">The negotiation of a </w:t>
      </w:r>
      <w:r>
        <w:rPr>
          <w:rFonts w:ascii="Calibri" w:hAnsi="Calibri" w:cs="Calibri"/>
          <w:b/>
          <w:bCs/>
        </w:rPr>
        <w:t>Social Housing Agreement with the Commonwealth Government</w:t>
      </w:r>
      <w:r>
        <w:rPr>
          <w:rFonts w:ascii="Calibri" w:hAnsi="Calibri" w:cs="Calibri"/>
        </w:rPr>
        <w:t xml:space="preserve"> that includes:</w:t>
      </w:r>
    </w:p>
    <w:p w14:paraId="3682667C" w14:textId="4AF48961"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t xml:space="preserve">A review of all Commonwealth land holdings within the City of Greater Geelong and a commitment to release all sites no longer required, in an orderly manner, for use as residential development with a minimum of 30% of the lots produced designated for social housing and transferred to a Registered Housing Agency at </w:t>
      </w:r>
      <w:r w:rsidR="0043615E">
        <w:rPr>
          <w:rFonts w:ascii="Calibri" w:hAnsi="Calibri" w:cs="Calibri"/>
        </w:rPr>
        <w:t>cost</w:t>
      </w:r>
      <w:r>
        <w:rPr>
          <w:rFonts w:ascii="Calibri" w:hAnsi="Calibri" w:cs="Calibri"/>
        </w:rPr>
        <w:t>; and</w:t>
      </w:r>
    </w:p>
    <w:p w14:paraId="43A2789E" w14:textId="5CBEF79A" w:rsidR="00B764FC" w:rsidRDefault="00B764FC" w:rsidP="00077040">
      <w:pPr>
        <w:pStyle w:val="BodyText1"/>
        <w:numPr>
          <w:ilvl w:val="1"/>
          <w:numId w:val="32"/>
        </w:numPr>
        <w:spacing w:after="240" w:line="276" w:lineRule="auto"/>
        <w:jc w:val="both"/>
        <w:rPr>
          <w:rFonts w:ascii="Calibri" w:hAnsi="Calibri" w:cs="Calibri"/>
        </w:rPr>
      </w:pPr>
      <w:r>
        <w:rPr>
          <w:rFonts w:ascii="Calibri" w:hAnsi="Calibri" w:cs="Calibri"/>
        </w:rPr>
        <w:t>Debt finance through NHFIC to an approved Registered Housing Agency in the order of $3.4B distributed over 20 years.</w:t>
      </w:r>
    </w:p>
    <w:p w14:paraId="4AFA2083" w14:textId="66EFB350" w:rsidR="00B764FC" w:rsidRDefault="00B764FC" w:rsidP="00077040">
      <w:pPr>
        <w:pStyle w:val="BodyText1"/>
        <w:numPr>
          <w:ilvl w:val="0"/>
          <w:numId w:val="32"/>
        </w:numPr>
        <w:spacing w:after="240" w:line="276" w:lineRule="auto"/>
        <w:jc w:val="both"/>
        <w:rPr>
          <w:rFonts w:ascii="Calibri" w:hAnsi="Calibri" w:cs="Calibri"/>
        </w:rPr>
      </w:pPr>
      <w:r>
        <w:rPr>
          <w:rFonts w:ascii="Calibri" w:hAnsi="Calibri" w:cs="Calibri"/>
        </w:rPr>
        <w:t xml:space="preserve">The negotiation of a </w:t>
      </w:r>
      <w:r>
        <w:rPr>
          <w:rFonts w:ascii="Calibri" w:hAnsi="Calibri" w:cs="Calibri"/>
          <w:b/>
          <w:bCs/>
        </w:rPr>
        <w:t>Social Housing Growth Agreement with State Government of Victoria</w:t>
      </w:r>
      <w:r>
        <w:rPr>
          <w:rFonts w:ascii="Calibri" w:hAnsi="Calibri" w:cs="Calibri"/>
        </w:rPr>
        <w:t xml:space="preserve"> that includes</w:t>
      </w:r>
      <w:r>
        <w:rPr>
          <w:rStyle w:val="FootnoteReference"/>
          <w:rFonts w:ascii="Calibri" w:hAnsi="Calibri" w:cs="Calibri"/>
        </w:rPr>
        <w:footnoteReference w:id="2"/>
      </w:r>
      <w:r>
        <w:rPr>
          <w:rFonts w:ascii="Calibri" w:hAnsi="Calibri" w:cs="Calibri"/>
        </w:rPr>
        <w:t>:</w:t>
      </w:r>
    </w:p>
    <w:p w14:paraId="78BE16A1" w14:textId="29F7F778"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t xml:space="preserve">A review of all State land holdings within the City of Greater Geelong and a commitment to release all sites no longer required, in an orderly manner, for use as residential development with a minimum of 30% of the lots produced designated for social housing and transferred to a registered Housing Agency at </w:t>
      </w:r>
      <w:r w:rsidR="0043615E">
        <w:rPr>
          <w:rFonts w:ascii="Calibri" w:hAnsi="Calibri" w:cs="Calibri"/>
        </w:rPr>
        <w:t>cost</w:t>
      </w:r>
      <w:r>
        <w:rPr>
          <w:rFonts w:ascii="Calibri" w:hAnsi="Calibri" w:cs="Calibri"/>
        </w:rPr>
        <w:t>; and</w:t>
      </w:r>
    </w:p>
    <w:p w14:paraId="2F7724E9" w14:textId="14BF0218"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t>A commitment to complete urban renewal plans for Corio, Norlane and Whittington including the replacement of 1,500 public housing dwellings over the next 20 years as they reach the end of their economic life; and</w:t>
      </w:r>
    </w:p>
    <w:p w14:paraId="08CFD364" w14:textId="3DC3A9D7" w:rsidR="00B764FC" w:rsidRDefault="00B764FC" w:rsidP="00077040">
      <w:pPr>
        <w:pStyle w:val="ListParagraph"/>
        <w:numPr>
          <w:ilvl w:val="1"/>
          <w:numId w:val="32"/>
        </w:numPr>
        <w:spacing w:line="276" w:lineRule="auto"/>
        <w:jc w:val="both"/>
        <w:rPr>
          <w:sz w:val="22"/>
          <w:szCs w:val="22"/>
        </w:rPr>
      </w:pPr>
      <w:r>
        <w:rPr>
          <w:sz w:val="22"/>
          <w:szCs w:val="22"/>
        </w:rPr>
        <w:t xml:space="preserve">A </w:t>
      </w:r>
      <w:r>
        <w:rPr>
          <w:b/>
          <w:bCs/>
          <w:sz w:val="22"/>
          <w:szCs w:val="22"/>
        </w:rPr>
        <w:t>Social Housing Growth Fund</w:t>
      </w:r>
      <w:r>
        <w:rPr>
          <w:sz w:val="22"/>
          <w:szCs w:val="22"/>
        </w:rPr>
        <w:t xml:space="preserve"> operating subsidy estimated in the order of $3B spread over </w:t>
      </w:r>
      <w:r w:rsidR="00017FA2">
        <w:rPr>
          <w:sz w:val="22"/>
          <w:szCs w:val="22"/>
        </w:rPr>
        <w:t>50 years</w:t>
      </w:r>
    </w:p>
    <w:p w14:paraId="27ED6784" w14:textId="77777777" w:rsidR="00B764FC" w:rsidRDefault="00B764FC">
      <w:pPr>
        <w:pStyle w:val="BodyText1"/>
        <w:spacing w:line="276" w:lineRule="auto"/>
        <w:jc w:val="both"/>
        <w:rPr>
          <w:rFonts w:ascii="Calibri" w:hAnsi="Calibri" w:cs="Calibri"/>
        </w:rPr>
      </w:pPr>
    </w:p>
    <w:p w14:paraId="59A8F1AB" w14:textId="77777777" w:rsidR="00B764FC" w:rsidRDefault="00B764FC" w:rsidP="00077040">
      <w:pPr>
        <w:pStyle w:val="BodyText1"/>
        <w:numPr>
          <w:ilvl w:val="0"/>
          <w:numId w:val="32"/>
        </w:numPr>
        <w:spacing w:after="240" w:line="276" w:lineRule="auto"/>
        <w:jc w:val="both"/>
        <w:rPr>
          <w:rFonts w:ascii="Calibri" w:hAnsi="Calibri" w:cs="Calibri"/>
        </w:rPr>
      </w:pPr>
      <w:r>
        <w:rPr>
          <w:rFonts w:ascii="Calibri" w:hAnsi="Calibri" w:cs="Calibri"/>
        </w:rPr>
        <w:t xml:space="preserve">A </w:t>
      </w:r>
      <w:r>
        <w:rPr>
          <w:rFonts w:ascii="Calibri" w:hAnsi="Calibri" w:cs="Calibri"/>
          <w:b/>
          <w:bCs/>
        </w:rPr>
        <w:t>commitment by the City of Greater Geelong</w:t>
      </w:r>
      <w:r>
        <w:rPr>
          <w:rFonts w:ascii="Calibri" w:hAnsi="Calibri" w:cs="Calibri"/>
        </w:rPr>
        <w:t xml:space="preserve"> through partnerships with the Commonwealth and Victorian Governments to:</w:t>
      </w:r>
    </w:p>
    <w:p w14:paraId="414C083C" w14:textId="42653C42"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t xml:space="preserve">A review of all </w:t>
      </w:r>
      <w:r w:rsidR="00864FA3">
        <w:rPr>
          <w:rFonts w:ascii="Calibri" w:hAnsi="Calibri" w:cs="Calibri"/>
        </w:rPr>
        <w:t xml:space="preserve">City </w:t>
      </w:r>
      <w:r>
        <w:rPr>
          <w:rFonts w:ascii="Calibri" w:hAnsi="Calibri" w:cs="Calibri"/>
        </w:rPr>
        <w:t xml:space="preserve">land holdings within the City of Greater Geelong and a commitment to release all sites no longer required, in an orderly manner, for use as residential development with a minimum of 30% of the dwelling produced designated for social housing and transferred to a Registered Housing Agency at </w:t>
      </w:r>
      <w:r w:rsidR="0043615E">
        <w:rPr>
          <w:rFonts w:ascii="Calibri" w:hAnsi="Calibri" w:cs="Calibri"/>
        </w:rPr>
        <w:t>cost</w:t>
      </w:r>
      <w:r w:rsidR="00077040">
        <w:rPr>
          <w:rFonts w:ascii="Calibri" w:hAnsi="Calibri" w:cs="Calibri"/>
        </w:rPr>
        <w:t xml:space="preserve"> with an option for Council to continue to hold title to the land</w:t>
      </w:r>
      <w:r>
        <w:rPr>
          <w:rFonts w:ascii="Calibri" w:hAnsi="Calibri" w:cs="Calibri"/>
        </w:rPr>
        <w:t xml:space="preserve">; </w:t>
      </w:r>
      <w:r w:rsidR="00017FA2">
        <w:rPr>
          <w:rFonts w:ascii="Calibri" w:hAnsi="Calibri" w:cs="Calibri"/>
        </w:rPr>
        <w:t>and</w:t>
      </w:r>
    </w:p>
    <w:p w14:paraId="1CE4BAD8" w14:textId="77777777"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t>Where there is a demonstrated uplift in the value of private land, through a rezoning or development approval, the City of Greater Geelong will negotiate the inclusion of affordable housing appropriate to the context and scale of the development (a legitimate target based on the identified demand suggests that 10% social housing is not unreasonable); and</w:t>
      </w:r>
    </w:p>
    <w:p w14:paraId="0DE0AA2B" w14:textId="77777777"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lastRenderedPageBreak/>
        <w:t>A commitment to work with the State Government in the implementation of Urban Renewal Plans for Corio, Norlane and Whittington, including the resourcing of a community development strategy in each neighbourhood; and</w:t>
      </w:r>
    </w:p>
    <w:p w14:paraId="7EECE1D9" w14:textId="2AB71B70" w:rsidR="00B764FC" w:rsidRDefault="00B764FC" w:rsidP="00077040">
      <w:pPr>
        <w:pStyle w:val="BodyText1"/>
        <w:numPr>
          <w:ilvl w:val="1"/>
          <w:numId w:val="32"/>
        </w:numPr>
        <w:spacing w:line="276" w:lineRule="auto"/>
        <w:jc w:val="both"/>
        <w:rPr>
          <w:rFonts w:ascii="Calibri" w:hAnsi="Calibri" w:cs="Calibri"/>
        </w:rPr>
      </w:pPr>
      <w:r>
        <w:rPr>
          <w:rFonts w:ascii="Calibri" w:hAnsi="Calibri" w:cs="Calibri"/>
        </w:rPr>
        <w:t>A commitment to invest $1M per annum for 20 years into the Registered Housing Agency commissioned with the task of implementing the Social Housing Growth Strategy.</w:t>
      </w:r>
    </w:p>
    <w:p w14:paraId="60A144CE" w14:textId="77777777" w:rsidR="00B764FC" w:rsidRDefault="00B764FC">
      <w:pPr>
        <w:pStyle w:val="BodyText1"/>
        <w:spacing w:line="276" w:lineRule="auto"/>
        <w:ind w:left="1440"/>
        <w:jc w:val="both"/>
        <w:rPr>
          <w:rFonts w:ascii="Calibri" w:hAnsi="Calibri" w:cs="Calibri"/>
        </w:rPr>
      </w:pPr>
    </w:p>
    <w:p w14:paraId="25D98029" w14:textId="77265C70" w:rsidR="00B764FC" w:rsidRDefault="00B764FC" w:rsidP="00077040">
      <w:pPr>
        <w:pStyle w:val="BodyText1"/>
        <w:numPr>
          <w:ilvl w:val="0"/>
          <w:numId w:val="32"/>
        </w:numPr>
        <w:spacing w:line="276" w:lineRule="auto"/>
        <w:jc w:val="both"/>
        <w:rPr>
          <w:rFonts w:ascii="Calibri" w:hAnsi="Calibri" w:cs="Calibri"/>
        </w:rPr>
      </w:pPr>
      <w:r>
        <w:rPr>
          <w:rFonts w:ascii="Calibri" w:hAnsi="Calibri" w:cs="Calibri"/>
        </w:rPr>
        <w:t xml:space="preserve">Negotiation of a </w:t>
      </w:r>
      <w:r>
        <w:rPr>
          <w:rFonts w:ascii="Calibri" w:hAnsi="Calibri" w:cs="Calibri"/>
          <w:b/>
          <w:bCs/>
        </w:rPr>
        <w:t>Partnership Agreement with a Registered Housing Agency</w:t>
      </w:r>
      <w:r>
        <w:rPr>
          <w:rFonts w:ascii="Calibri" w:hAnsi="Calibri" w:cs="Calibri"/>
        </w:rPr>
        <w:t xml:space="preserve"> to ensure the establishment of the following key components of local infrastructure necessary to support social housing growth </w:t>
      </w:r>
      <w:r w:rsidR="00017FA2">
        <w:rPr>
          <w:rFonts w:ascii="Calibri" w:hAnsi="Calibri" w:cs="Calibri"/>
        </w:rPr>
        <w:t>including:</w:t>
      </w:r>
    </w:p>
    <w:p w14:paraId="241658E6" w14:textId="77777777" w:rsidR="00B764FC" w:rsidRDefault="00B764FC">
      <w:pPr>
        <w:pStyle w:val="BodyText1"/>
        <w:spacing w:line="276" w:lineRule="auto"/>
        <w:ind w:left="720"/>
        <w:jc w:val="both"/>
        <w:rPr>
          <w:rFonts w:ascii="Calibri" w:hAnsi="Calibri" w:cs="Calibri"/>
        </w:rPr>
      </w:pPr>
    </w:p>
    <w:p w14:paraId="085D2548" w14:textId="4FF743AC" w:rsidR="00B764FC" w:rsidRDefault="00B764FC" w:rsidP="0054190D">
      <w:pPr>
        <w:pStyle w:val="BodyText1"/>
        <w:numPr>
          <w:ilvl w:val="0"/>
          <w:numId w:val="63"/>
        </w:numPr>
        <w:spacing w:line="276" w:lineRule="auto"/>
        <w:jc w:val="both"/>
        <w:rPr>
          <w:rFonts w:ascii="Calibri" w:hAnsi="Calibri" w:cs="Calibri"/>
        </w:rPr>
      </w:pPr>
      <w:r>
        <w:rPr>
          <w:rFonts w:ascii="Calibri" w:hAnsi="Calibri" w:cs="Calibri"/>
          <w:b/>
          <w:bCs/>
        </w:rPr>
        <w:t>Geelong Affordable Housing Trust (GAHT)</w:t>
      </w:r>
      <w:r>
        <w:rPr>
          <w:rFonts w:ascii="Calibri" w:hAnsi="Calibri" w:cs="Calibri"/>
        </w:rPr>
        <w:t xml:space="preserve"> – a special purpose investment entity that will hold all assets and contributions provided by Council, State and Commonwealth governments, and private sector (via Sec 173 Affordable Housing Agreements) and social housing assets; and</w:t>
      </w:r>
    </w:p>
    <w:p w14:paraId="610A5EE0" w14:textId="76324D45" w:rsidR="00B764FC" w:rsidRPr="009135F8" w:rsidRDefault="00B764FC" w:rsidP="0054190D">
      <w:pPr>
        <w:pStyle w:val="BodyText1"/>
        <w:numPr>
          <w:ilvl w:val="0"/>
          <w:numId w:val="63"/>
        </w:numPr>
        <w:spacing w:line="276" w:lineRule="auto"/>
        <w:jc w:val="both"/>
        <w:rPr>
          <w:rFonts w:ascii="Calibri" w:hAnsi="Calibri" w:cs="Calibri"/>
        </w:rPr>
      </w:pPr>
      <w:r w:rsidRPr="009135F8">
        <w:rPr>
          <w:rFonts w:ascii="Calibri" w:hAnsi="Calibri" w:cs="Calibri"/>
          <w:b/>
          <w:bCs/>
        </w:rPr>
        <w:t>Geelong Affordable Housing Company (GAHC)</w:t>
      </w:r>
      <w:r w:rsidRPr="009135F8">
        <w:rPr>
          <w:rFonts w:ascii="Calibri" w:hAnsi="Calibri" w:cs="Calibri"/>
        </w:rPr>
        <w:t xml:space="preserve"> – a special purpose affordable housing development company that is registered as a Housing Association under the Victorian Housing Act and appointed by Council as Trustee of the above </w:t>
      </w:r>
      <w:r w:rsidR="00017FA2" w:rsidRPr="009135F8">
        <w:rPr>
          <w:rFonts w:ascii="Calibri" w:hAnsi="Calibri" w:cs="Calibri"/>
        </w:rPr>
        <w:t>rust</w:t>
      </w:r>
      <w:r w:rsidRPr="009135F8">
        <w:rPr>
          <w:rFonts w:ascii="Calibri" w:hAnsi="Calibri" w:cs="Calibri"/>
        </w:rPr>
        <w:t xml:space="preserve"> (refer to </w:t>
      </w:r>
      <w:r w:rsidRPr="009135F8">
        <w:rPr>
          <w:rFonts w:ascii="Calibri" w:hAnsi="Calibri" w:cs="Calibri"/>
          <w:b/>
          <w:bCs/>
        </w:rPr>
        <w:t>Executive Summary</w:t>
      </w:r>
      <w:r w:rsidRPr="009135F8">
        <w:rPr>
          <w:rFonts w:ascii="Calibri" w:hAnsi="Calibri" w:cs="Calibri"/>
        </w:rPr>
        <w:t xml:space="preserve"> for more details).</w:t>
      </w:r>
    </w:p>
    <w:p w14:paraId="65E690EA" w14:textId="77777777" w:rsidR="00B764FC" w:rsidRDefault="00B764FC">
      <w:pPr>
        <w:pStyle w:val="BodyText1"/>
        <w:spacing w:line="276" w:lineRule="auto"/>
        <w:jc w:val="both"/>
        <w:rPr>
          <w:rFonts w:ascii="Calibri" w:hAnsi="Calibri" w:cs="Calibri"/>
        </w:rPr>
      </w:pPr>
    </w:p>
    <w:p w14:paraId="59523D2B" w14:textId="3D88C3D7" w:rsidR="00B764FC" w:rsidRDefault="00B764FC">
      <w:pPr>
        <w:spacing w:after="240" w:line="276" w:lineRule="auto"/>
        <w:jc w:val="both"/>
        <w:rPr>
          <w:sz w:val="22"/>
          <w:szCs w:val="22"/>
        </w:rPr>
      </w:pPr>
      <w:r>
        <w:rPr>
          <w:sz w:val="22"/>
          <w:szCs w:val="22"/>
        </w:rPr>
        <w:t xml:space="preserve">This ambitious expectation by </w:t>
      </w:r>
      <w:r w:rsidR="00864FA3">
        <w:rPr>
          <w:sz w:val="22"/>
          <w:szCs w:val="22"/>
        </w:rPr>
        <w:t xml:space="preserve">the City </w:t>
      </w:r>
      <w:r>
        <w:rPr>
          <w:sz w:val="22"/>
          <w:szCs w:val="22"/>
        </w:rPr>
        <w:t xml:space="preserve">is premised on the </w:t>
      </w:r>
      <w:r>
        <w:rPr>
          <w:b/>
          <w:bCs/>
          <w:sz w:val="22"/>
          <w:szCs w:val="22"/>
        </w:rPr>
        <w:t>following facts which set Geelong apart</w:t>
      </w:r>
      <w:r>
        <w:rPr>
          <w:sz w:val="22"/>
          <w:szCs w:val="22"/>
        </w:rPr>
        <w:t>:</w:t>
      </w:r>
    </w:p>
    <w:p w14:paraId="4301847F" w14:textId="77777777" w:rsidR="00B764FC" w:rsidRDefault="00B764FC" w:rsidP="00077040">
      <w:pPr>
        <w:pStyle w:val="BodyText1"/>
        <w:numPr>
          <w:ilvl w:val="0"/>
          <w:numId w:val="44"/>
        </w:numPr>
        <w:spacing w:line="276" w:lineRule="auto"/>
        <w:jc w:val="both"/>
        <w:rPr>
          <w:rFonts w:ascii="Calibri" w:hAnsi="Calibri" w:cs="Calibri"/>
        </w:rPr>
      </w:pPr>
      <w:r>
        <w:rPr>
          <w:rFonts w:ascii="Calibri" w:hAnsi="Calibri" w:cs="Calibri"/>
        </w:rPr>
        <w:t>The municipality is the largest by population in Victoria with significant growth expectations driven by State and Commonwealth settlement and regional development plans – Council has every right to expect the support of both levels of government to address the major social infrastructure requirements of the City.</w:t>
      </w:r>
    </w:p>
    <w:p w14:paraId="2C44C8DD" w14:textId="77777777" w:rsidR="00B764FC" w:rsidRDefault="00B764FC" w:rsidP="00077040">
      <w:pPr>
        <w:pStyle w:val="BodyText1"/>
        <w:numPr>
          <w:ilvl w:val="0"/>
          <w:numId w:val="44"/>
        </w:numPr>
        <w:spacing w:line="276" w:lineRule="auto"/>
        <w:jc w:val="both"/>
        <w:rPr>
          <w:rFonts w:ascii="Calibri" w:hAnsi="Calibri" w:cs="Calibri"/>
        </w:rPr>
      </w:pPr>
      <w:r>
        <w:rPr>
          <w:rFonts w:ascii="Calibri" w:hAnsi="Calibri" w:cs="Calibri"/>
        </w:rPr>
        <w:t>The municipality is unique in Victoria in that it has all of the features of a major metropolis including a central business district undergoing rejuvenation through redevelopment including high rise service oriented office towers alongside apartment buildings; an outer fringe which is undergoing rapid growth through greenfield developments; and established suburban communities being reshaped around local retail centres and transport hubs.</w:t>
      </w:r>
    </w:p>
    <w:p w14:paraId="65DAA01F" w14:textId="0525EC38" w:rsidR="00B764FC" w:rsidRDefault="00B764FC" w:rsidP="00077040">
      <w:pPr>
        <w:pStyle w:val="BodyText1"/>
        <w:numPr>
          <w:ilvl w:val="0"/>
          <w:numId w:val="44"/>
        </w:numPr>
        <w:spacing w:line="276" w:lineRule="auto"/>
        <w:jc w:val="both"/>
        <w:rPr>
          <w:rFonts w:ascii="Calibri" w:hAnsi="Calibri" w:cs="Calibri"/>
        </w:rPr>
      </w:pPr>
      <w:r>
        <w:rPr>
          <w:rFonts w:ascii="Calibri" w:hAnsi="Calibri" w:cs="Calibri"/>
        </w:rPr>
        <w:t>The municipality has been at the forefront of the restructuring of Australian industry with the closure of many significant manufacturing industries resulting in considerable unemployment and transitional employment options.</w:t>
      </w:r>
    </w:p>
    <w:p w14:paraId="0F3DBD4D" w14:textId="77777777" w:rsidR="00B764FC" w:rsidRDefault="00B764FC" w:rsidP="00077040">
      <w:pPr>
        <w:pStyle w:val="BodyText1"/>
        <w:numPr>
          <w:ilvl w:val="0"/>
          <w:numId w:val="44"/>
        </w:numPr>
        <w:spacing w:line="276" w:lineRule="auto"/>
        <w:jc w:val="both"/>
        <w:rPr>
          <w:rFonts w:ascii="Calibri" w:hAnsi="Calibri" w:cs="Calibri"/>
        </w:rPr>
      </w:pPr>
      <w:r>
        <w:rPr>
          <w:rFonts w:ascii="Calibri" w:hAnsi="Calibri" w:cs="Calibri"/>
        </w:rPr>
        <w:t xml:space="preserve">There is currently a very low proportion of social housing in the municipality, much of which is nearing the end of its economic life, </w:t>
      </w:r>
      <w:r w:rsidR="006842AB">
        <w:rPr>
          <w:rFonts w:ascii="Calibri" w:hAnsi="Calibri" w:cs="Calibri"/>
        </w:rPr>
        <w:t xml:space="preserve">is </w:t>
      </w:r>
      <w:r>
        <w:rPr>
          <w:rFonts w:ascii="Calibri" w:hAnsi="Calibri" w:cs="Calibri"/>
        </w:rPr>
        <w:t xml:space="preserve">underutilised, and </w:t>
      </w:r>
      <w:r w:rsidR="006842AB">
        <w:rPr>
          <w:rFonts w:ascii="Calibri" w:hAnsi="Calibri" w:cs="Calibri"/>
        </w:rPr>
        <w:t xml:space="preserve">is </w:t>
      </w:r>
      <w:r>
        <w:rPr>
          <w:rFonts w:ascii="Calibri" w:hAnsi="Calibri" w:cs="Calibri"/>
        </w:rPr>
        <w:t>not matched to current demand.</w:t>
      </w:r>
    </w:p>
    <w:p w14:paraId="4E93E600" w14:textId="42CDF53C" w:rsidR="00B764FC" w:rsidRDefault="00B764FC" w:rsidP="00077040">
      <w:pPr>
        <w:pStyle w:val="BodyText1"/>
        <w:numPr>
          <w:ilvl w:val="0"/>
          <w:numId w:val="44"/>
        </w:numPr>
        <w:spacing w:line="276" w:lineRule="auto"/>
        <w:jc w:val="both"/>
        <w:rPr>
          <w:rFonts w:ascii="Calibri" w:hAnsi="Calibri" w:cs="Calibri"/>
        </w:rPr>
      </w:pPr>
      <w:r>
        <w:rPr>
          <w:rFonts w:ascii="Calibri" w:hAnsi="Calibri" w:cs="Calibri"/>
        </w:rPr>
        <w:t xml:space="preserve">That level of investment is way beyond the capacity of </w:t>
      </w:r>
      <w:r w:rsidR="00864FA3">
        <w:rPr>
          <w:rFonts w:ascii="Calibri" w:hAnsi="Calibri" w:cs="Calibri"/>
        </w:rPr>
        <w:t xml:space="preserve">the City </w:t>
      </w:r>
      <w:r>
        <w:rPr>
          <w:rFonts w:ascii="Calibri" w:hAnsi="Calibri" w:cs="Calibri"/>
        </w:rPr>
        <w:t>to meet and can only be addressed through a coordinated strategy which has the commitment of both the State and Commonwealth Governments as well as the City of Greater</w:t>
      </w:r>
      <w:r w:rsidR="00077040">
        <w:rPr>
          <w:rFonts w:ascii="Calibri" w:hAnsi="Calibri" w:cs="Calibri"/>
        </w:rPr>
        <w:t xml:space="preserve"> Geelong</w:t>
      </w:r>
      <w:r>
        <w:rPr>
          <w:rFonts w:ascii="Calibri" w:hAnsi="Calibri" w:cs="Calibri"/>
        </w:rPr>
        <w:t>.</w:t>
      </w:r>
    </w:p>
    <w:p w14:paraId="1AEB5C3A" w14:textId="77777777" w:rsidR="00B764FC" w:rsidRDefault="00B764FC">
      <w:pPr>
        <w:rPr>
          <w:color w:val="000000"/>
        </w:rPr>
      </w:pPr>
    </w:p>
    <w:p w14:paraId="523DE8D2" w14:textId="77777777" w:rsidR="00B764FC" w:rsidRDefault="00B764FC">
      <w:pPr>
        <w:pStyle w:val="ListParagraph"/>
        <w:spacing w:line="276" w:lineRule="auto"/>
        <w:jc w:val="both"/>
        <w:rPr>
          <w:sz w:val="22"/>
          <w:szCs w:val="22"/>
        </w:rPr>
      </w:pPr>
    </w:p>
    <w:p w14:paraId="2C19B2A2" w14:textId="77777777" w:rsidR="00B764FC" w:rsidRDefault="00B764FC">
      <w:pPr>
        <w:pStyle w:val="ListParagraph"/>
        <w:spacing w:after="240" w:line="276" w:lineRule="auto"/>
        <w:jc w:val="both"/>
        <w:rPr>
          <w:sz w:val="22"/>
          <w:szCs w:val="22"/>
        </w:rPr>
      </w:pPr>
    </w:p>
    <w:p w14:paraId="70E6AB5E" w14:textId="77777777" w:rsidR="00B764FC" w:rsidRDefault="00B764FC">
      <w:pPr>
        <w:pStyle w:val="ListParagraph"/>
        <w:spacing w:after="240" w:line="276" w:lineRule="auto"/>
        <w:jc w:val="both"/>
        <w:rPr>
          <w:sz w:val="22"/>
          <w:szCs w:val="22"/>
        </w:rPr>
      </w:pPr>
    </w:p>
    <w:p w14:paraId="5C493008" w14:textId="77777777" w:rsidR="00B764FC" w:rsidRPr="00B831C1" w:rsidRDefault="00B764FC">
      <w:pPr>
        <w:pStyle w:val="Heading2"/>
      </w:pPr>
      <w:bookmarkStart w:id="9" w:name="_Toc22120150"/>
      <w:r w:rsidRPr="00B831C1">
        <w:lastRenderedPageBreak/>
        <w:t>1.3 Strategies</w:t>
      </w:r>
      <w:bookmarkEnd w:id="9"/>
    </w:p>
    <w:p w14:paraId="7EC4788C" w14:textId="0975B2BC" w:rsidR="00B764FC" w:rsidRDefault="00B764FC">
      <w:pPr>
        <w:spacing w:before="240" w:after="240" w:line="276" w:lineRule="auto"/>
        <w:jc w:val="both"/>
        <w:rPr>
          <w:sz w:val="22"/>
          <w:szCs w:val="22"/>
        </w:rPr>
      </w:pPr>
      <w:r>
        <w:rPr>
          <w:sz w:val="22"/>
          <w:szCs w:val="22"/>
        </w:rPr>
        <w:t xml:space="preserve">Strategies required to implement the City of Greater Geelong </w:t>
      </w:r>
      <w:r>
        <w:rPr>
          <w:i/>
          <w:iCs/>
          <w:sz w:val="22"/>
          <w:szCs w:val="22"/>
        </w:rPr>
        <w:t>Social Housing Plan 20</w:t>
      </w:r>
      <w:r w:rsidR="001A22EA">
        <w:rPr>
          <w:i/>
          <w:iCs/>
          <w:sz w:val="22"/>
          <w:szCs w:val="22"/>
        </w:rPr>
        <w:t>20</w:t>
      </w:r>
      <w:r>
        <w:rPr>
          <w:i/>
          <w:iCs/>
          <w:sz w:val="22"/>
          <w:szCs w:val="22"/>
        </w:rPr>
        <w:t xml:space="preserve"> – 2041</w:t>
      </w:r>
      <w:r>
        <w:rPr>
          <w:sz w:val="22"/>
          <w:szCs w:val="22"/>
        </w:rPr>
        <w:t xml:space="preserve"> are set out below under the following roles identified for Council:</w:t>
      </w:r>
    </w:p>
    <w:p w14:paraId="5251844D" w14:textId="77777777" w:rsidR="00B764FC" w:rsidRDefault="00B764FC" w:rsidP="00077040">
      <w:pPr>
        <w:pStyle w:val="ListParagraph"/>
        <w:numPr>
          <w:ilvl w:val="0"/>
          <w:numId w:val="40"/>
        </w:numPr>
        <w:spacing w:line="276" w:lineRule="auto"/>
        <w:jc w:val="both"/>
        <w:rPr>
          <w:sz w:val="22"/>
          <w:szCs w:val="22"/>
        </w:rPr>
      </w:pPr>
      <w:r>
        <w:rPr>
          <w:sz w:val="22"/>
          <w:szCs w:val="22"/>
        </w:rPr>
        <w:t>Leadership</w:t>
      </w:r>
    </w:p>
    <w:p w14:paraId="1C4D581D" w14:textId="77777777" w:rsidR="00B764FC" w:rsidRDefault="00B764FC" w:rsidP="00077040">
      <w:pPr>
        <w:pStyle w:val="ListParagraph"/>
        <w:numPr>
          <w:ilvl w:val="0"/>
          <w:numId w:val="40"/>
        </w:numPr>
        <w:spacing w:line="276" w:lineRule="auto"/>
        <w:jc w:val="both"/>
        <w:rPr>
          <w:sz w:val="22"/>
          <w:szCs w:val="22"/>
        </w:rPr>
      </w:pPr>
      <w:r>
        <w:rPr>
          <w:sz w:val="22"/>
          <w:szCs w:val="22"/>
        </w:rPr>
        <w:t>Investment</w:t>
      </w:r>
    </w:p>
    <w:p w14:paraId="5E3A17B7" w14:textId="77777777" w:rsidR="00B764FC" w:rsidRDefault="00B764FC" w:rsidP="00077040">
      <w:pPr>
        <w:pStyle w:val="ListParagraph"/>
        <w:numPr>
          <w:ilvl w:val="0"/>
          <w:numId w:val="40"/>
        </w:numPr>
        <w:spacing w:line="276" w:lineRule="auto"/>
        <w:jc w:val="both"/>
        <w:rPr>
          <w:sz w:val="22"/>
          <w:szCs w:val="22"/>
        </w:rPr>
      </w:pPr>
      <w:r>
        <w:rPr>
          <w:sz w:val="22"/>
          <w:szCs w:val="22"/>
        </w:rPr>
        <w:t>Partnerships</w:t>
      </w:r>
    </w:p>
    <w:p w14:paraId="75ACB6BF" w14:textId="77777777" w:rsidR="00B764FC" w:rsidRDefault="00B764FC" w:rsidP="00077040">
      <w:pPr>
        <w:pStyle w:val="ListParagraph"/>
        <w:numPr>
          <w:ilvl w:val="0"/>
          <w:numId w:val="40"/>
        </w:numPr>
        <w:spacing w:line="276" w:lineRule="auto"/>
        <w:jc w:val="both"/>
        <w:rPr>
          <w:sz w:val="22"/>
          <w:szCs w:val="22"/>
        </w:rPr>
      </w:pPr>
      <w:r>
        <w:rPr>
          <w:sz w:val="22"/>
          <w:szCs w:val="22"/>
        </w:rPr>
        <w:t>Planning</w:t>
      </w:r>
    </w:p>
    <w:p w14:paraId="56510CFC" w14:textId="77777777" w:rsidR="00B764FC" w:rsidRDefault="00B764FC" w:rsidP="00077040">
      <w:pPr>
        <w:pStyle w:val="ListParagraph"/>
        <w:numPr>
          <w:ilvl w:val="0"/>
          <w:numId w:val="40"/>
        </w:numPr>
        <w:spacing w:line="276" w:lineRule="auto"/>
        <w:jc w:val="both"/>
        <w:rPr>
          <w:sz w:val="22"/>
          <w:szCs w:val="22"/>
        </w:rPr>
      </w:pPr>
      <w:r>
        <w:rPr>
          <w:sz w:val="22"/>
          <w:szCs w:val="22"/>
        </w:rPr>
        <w:t>Capacity Building</w:t>
      </w:r>
    </w:p>
    <w:p w14:paraId="7E6C0C44" w14:textId="77777777" w:rsidR="00B764FC" w:rsidRDefault="00B764FC">
      <w:pPr>
        <w:spacing w:line="276" w:lineRule="auto"/>
        <w:jc w:val="both"/>
        <w:rPr>
          <w:sz w:val="22"/>
          <w:szCs w:val="22"/>
        </w:rPr>
      </w:pPr>
    </w:p>
    <w:p w14:paraId="121F7C0D" w14:textId="77777777" w:rsidR="00B764FC" w:rsidRDefault="00B764FC">
      <w:pPr>
        <w:spacing w:line="276" w:lineRule="auto"/>
        <w:jc w:val="both"/>
        <w:rPr>
          <w:sz w:val="22"/>
          <w:szCs w:val="22"/>
        </w:rPr>
      </w:pPr>
      <w:r>
        <w:rPr>
          <w:sz w:val="22"/>
          <w:szCs w:val="22"/>
        </w:rPr>
        <w:t>Each Strategy includes:</w:t>
      </w:r>
    </w:p>
    <w:p w14:paraId="5CE6AF33" w14:textId="77777777" w:rsidR="00B764FC" w:rsidRDefault="00B764FC">
      <w:pPr>
        <w:spacing w:line="276" w:lineRule="auto"/>
        <w:jc w:val="both"/>
        <w:rPr>
          <w:sz w:val="22"/>
          <w:szCs w:val="22"/>
        </w:rPr>
      </w:pPr>
    </w:p>
    <w:p w14:paraId="18DC2560" w14:textId="77777777" w:rsidR="00B764FC" w:rsidRDefault="00B764FC" w:rsidP="00077040">
      <w:pPr>
        <w:pStyle w:val="BodyText1"/>
        <w:numPr>
          <w:ilvl w:val="0"/>
          <w:numId w:val="39"/>
        </w:numPr>
        <w:spacing w:line="276" w:lineRule="auto"/>
        <w:jc w:val="both"/>
        <w:rPr>
          <w:rFonts w:ascii="Calibri" w:hAnsi="Calibri" w:cs="Calibri"/>
        </w:rPr>
      </w:pPr>
      <w:r>
        <w:rPr>
          <w:rFonts w:ascii="Calibri" w:hAnsi="Calibri" w:cs="Calibri"/>
          <w:b/>
          <w:bCs/>
        </w:rPr>
        <w:t>Actions</w:t>
      </w:r>
      <w:r>
        <w:rPr>
          <w:rFonts w:ascii="Calibri" w:hAnsi="Calibri" w:cs="Calibri"/>
        </w:rPr>
        <w:t xml:space="preserve"> – activities identified as appropriate for each Strategy</w:t>
      </w:r>
    </w:p>
    <w:p w14:paraId="5092924A" w14:textId="77777777" w:rsidR="00B764FC" w:rsidRDefault="00B764FC" w:rsidP="00077040">
      <w:pPr>
        <w:pStyle w:val="BodyText1"/>
        <w:numPr>
          <w:ilvl w:val="0"/>
          <w:numId w:val="39"/>
        </w:numPr>
        <w:spacing w:line="276" w:lineRule="auto"/>
        <w:jc w:val="both"/>
        <w:rPr>
          <w:rFonts w:ascii="Calibri" w:hAnsi="Calibri" w:cs="Calibri"/>
        </w:rPr>
      </w:pPr>
      <w:r>
        <w:rPr>
          <w:rFonts w:ascii="Calibri" w:hAnsi="Calibri" w:cs="Calibri"/>
          <w:b/>
          <w:bCs/>
        </w:rPr>
        <w:t>Timelines</w:t>
      </w:r>
      <w:r>
        <w:rPr>
          <w:rFonts w:ascii="Calibri" w:hAnsi="Calibri" w:cs="Calibri"/>
        </w:rPr>
        <w:t xml:space="preserve"> – an approximate timeline based on Short Term (1-2 years); Medium Term (3-5 years); Long Term (5-10 years) and Ongoing</w:t>
      </w:r>
    </w:p>
    <w:p w14:paraId="2203067D" w14:textId="77777777" w:rsidR="00B764FC" w:rsidRDefault="00B764FC" w:rsidP="00077040">
      <w:pPr>
        <w:pStyle w:val="BodyText1"/>
        <w:numPr>
          <w:ilvl w:val="0"/>
          <w:numId w:val="39"/>
        </w:numPr>
        <w:spacing w:line="276" w:lineRule="auto"/>
        <w:jc w:val="both"/>
        <w:rPr>
          <w:rFonts w:ascii="Calibri" w:hAnsi="Calibri" w:cs="Calibri"/>
        </w:rPr>
      </w:pPr>
      <w:r>
        <w:rPr>
          <w:rFonts w:ascii="Calibri" w:hAnsi="Calibri" w:cs="Calibri"/>
          <w:b/>
          <w:bCs/>
        </w:rPr>
        <w:t xml:space="preserve">Budgets </w:t>
      </w:r>
      <w:r>
        <w:rPr>
          <w:rFonts w:ascii="Calibri" w:hAnsi="Calibri" w:cs="Calibri"/>
        </w:rPr>
        <w:t>– an estimate of the budget that Council may be required to commit to each activity</w:t>
      </w:r>
    </w:p>
    <w:p w14:paraId="691CA893" w14:textId="0174C231" w:rsidR="00B764FC" w:rsidRDefault="00B764FC" w:rsidP="00077040">
      <w:pPr>
        <w:pStyle w:val="BodyText1"/>
        <w:numPr>
          <w:ilvl w:val="0"/>
          <w:numId w:val="39"/>
        </w:numPr>
        <w:spacing w:line="276" w:lineRule="auto"/>
        <w:jc w:val="both"/>
      </w:pPr>
      <w:r>
        <w:rPr>
          <w:rFonts w:ascii="Calibri" w:hAnsi="Calibri" w:cs="Calibri"/>
          <w:b/>
          <w:bCs/>
        </w:rPr>
        <w:t>Benefits to C</w:t>
      </w:r>
      <w:r w:rsidR="00FC60EB">
        <w:rPr>
          <w:rFonts w:ascii="Calibri" w:hAnsi="Calibri" w:cs="Calibri"/>
          <w:b/>
          <w:bCs/>
        </w:rPr>
        <w:t xml:space="preserve"> the City</w:t>
      </w:r>
      <w:r>
        <w:rPr>
          <w:rFonts w:ascii="Calibri" w:hAnsi="Calibri" w:cs="Calibri"/>
        </w:rPr>
        <w:t xml:space="preserve"> – what each action will contribute to the achievement of the overall </w:t>
      </w:r>
      <w:r w:rsidR="00433B20">
        <w:rPr>
          <w:rFonts w:ascii="Calibri" w:hAnsi="Calibri" w:cs="Calibri"/>
        </w:rPr>
        <w:t xml:space="preserve">Plan </w:t>
      </w:r>
      <w:r w:rsidR="00017FA2">
        <w:rPr>
          <w:rFonts w:ascii="Calibri" w:hAnsi="Calibri" w:cs="Calibri"/>
        </w:rPr>
        <w:t xml:space="preserve">and related social and economic benefits to Council </w:t>
      </w:r>
    </w:p>
    <w:p w14:paraId="0B7BEDF7" w14:textId="77777777" w:rsidR="00B764FC" w:rsidRDefault="00B764FC">
      <w:pPr>
        <w:rPr>
          <w:sz w:val="22"/>
          <w:szCs w:val="22"/>
        </w:rPr>
      </w:pPr>
      <w:r>
        <w:rPr>
          <w:sz w:val="22"/>
          <w:szCs w:val="22"/>
        </w:rPr>
        <w:br w:type="page"/>
      </w:r>
    </w:p>
    <w:p w14:paraId="2C64D90D" w14:textId="77777777" w:rsidR="00B764FC" w:rsidRDefault="00B764FC">
      <w:pPr>
        <w:rPr>
          <w:b/>
          <w:bCs/>
          <w:color w:val="808080"/>
          <w:sz w:val="20"/>
          <w:szCs w:val="20"/>
        </w:rPr>
        <w:sectPr w:rsidR="00B764FC">
          <w:footerReference w:type="default" r:id="rId13"/>
          <w:pgSz w:w="11907" w:h="16840" w:code="9"/>
          <w:pgMar w:top="1440" w:right="1275" w:bottom="1701" w:left="1418" w:header="709" w:footer="709" w:gutter="0"/>
          <w:cols w:space="708"/>
          <w:docGrid w:linePitch="360"/>
        </w:sectPr>
      </w:pPr>
    </w:p>
    <w:p w14:paraId="33E783AB" w14:textId="4F5BDE16" w:rsidR="00B764FC" w:rsidRDefault="00B764FC">
      <w:pPr>
        <w:pStyle w:val="Caption"/>
        <w:keepNext/>
        <w:rPr>
          <w:b/>
          <w:bCs/>
        </w:rPr>
      </w:pPr>
      <w:bookmarkStart w:id="10" w:name="_Toc22120036"/>
      <w:r>
        <w:rPr>
          <w:b/>
          <w:bCs/>
        </w:rPr>
        <w:lastRenderedPageBreak/>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w:t>
      </w:r>
      <w:r w:rsidR="00FF5CA4">
        <w:rPr>
          <w:b/>
          <w:bCs/>
        </w:rPr>
        <w:fldChar w:fldCharType="end"/>
      </w:r>
      <w:r>
        <w:rPr>
          <w:b/>
          <w:bCs/>
        </w:rPr>
        <w:t>: City of Greater Geelong - Recommended Strategies and Actions</w:t>
      </w:r>
      <w:bookmarkEnd w:id="10"/>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88"/>
        <w:gridCol w:w="61"/>
        <w:gridCol w:w="3233"/>
        <w:gridCol w:w="1073"/>
        <w:gridCol w:w="1209"/>
        <w:gridCol w:w="1750"/>
      </w:tblGrid>
      <w:tr w:rsidR="00B764FC" w:rsidRPr="00017FA2" w14:paraId="4B2F51AE" w14:textId="77777777" w:rsidTr="001A22EA">
        <w:trPr>
          <w:tblHeader/>
        </w:trPr>
        <w:tc>
          <w:tcPr>
            <w:tcW w:w="1949" w:type="dxa"/>
            <w:gridSpan w:val="2"/>
            <w:tcBorders>
              <w:left w:val="nil"/>
              <w:right w:val="nil"/>
            </w:tcBorders>
            <w:shd w:val="clear" w:color="auto" w:fill="002060"/>
            <w:vAlign w:val="center"/>
          </w:tcPr>
          <w:p w14:paraId="53B2F696" w14:textId="77777777" w:rsidR="00B764FC" w:rsidRPr="00017FA2" w:rsidRDefault="00B764FC">
            <w:pPr>
              <w:spacing w:line="276" w:lineRule="auto"/>
              <w:jc w:val="center"/>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Strategy</w:t>
            </w:r>
          </w:p>
        </w:tc>
        <w:tc>
          <w:tcPr>
            <w:tcW w:w="3233" w:type="dxa"/>
            <w:tcBorders>
              <w:left w:val="nil"/>
              <w:right w:val="nil"/>
            </w:tcBorders>
            <w:shd w:val="clear" w:color="auto" w:fill="002060"/>
            <w:vAlign w:val="center"/>
          </w:tcPr>
          <w:p w14:paraId="13AAAC91" w14:textId="77777777" w:rsidR="00B764FC" w:rsidRPr="00017FA2" w:rsidRDefault="00B764FC">
            <w:pPr>
              <w:spacing w:before="40" w:after="40" w:line="276" w:lineRule="auto"/>
              <w:jc w:val="center"/>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Actions</w:t>
            </w:r>
          </w:p>
        </w:tc>
        <w:tc>
          <w:tcPr>
            <w:tcW w:w="1073" w:type="dxa"/>
            <w:tcBorders>
              <w:left w:val="nil"/>
              <w:right w:val="nil"/>
            </w:tcBorders>
            <w:shd w:val="clear" w:color="auto" w:fill="002060"/>
            <w:vAlign w:val="center"/>
          </w:tcPr>
          <w:p w14:paraId="15AAE283" w14:textId="77777777" w:rsidR="00B764FC" w:rsidRPr="00017FA2" w:rsidRDefault="00B764FC">
            <w:pPr>
              <w:spacing w:line="276" w:lineRule="auto"/>
              <w:jc w:val="center"/>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Timelines</w:t>
            </w:r>
          </w:p>
        </w:tc>
        <w:tc>
          <w:tcPr>
            <w:tcW w:w="1209" w:type="dxa"/>
            <w:tcBorders>
              <w:left w:val="nil"/>
              <w:right w:val="nil"/>
            </w:tcBorders>
            <w:shd w:val="clear" w:color="auto" w:fill="002060"/>
            <w:vAlign w:val="center"/>
          </w:tcPr>
          <w:p w14:paraId="57C07908" w14:textId="77777777" w:rsidR="00B764FC" w:rsidRPr="00017FA2" w:rsidRDefault="00B764FC">
            <w:pPr>
              <w:spacing w:line="276" w:lineRule="auto"/>
              <w:jc w:val="center"/>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Resources</w:t>
            </w:r>
          </w:p>
        </w:tc>
        <w:tc>
          <w:tcPr>
            <w:tcW w:w="1750" w:type="dxa"/>
            <w:tcBorders>
              <w:left w:val="nil"/>
              <w:right w:val="nil"/>
            </w:tcBorders>
            <w:shd w:val="clear" w:color="auto" w:fill="002060"/>
            <w:vAlign w:val="center"/>
          </w:tcPr>
          <w:p w14:paraId="0DEFFFA7" w14:textId="77777777" w:rsidR="00B764FC" w:rsidRPr="00017FA2" w:rsidRDefault="00B764FC">
            <w:pPr>
              <w:spacing w:line="276" w:lineRule="auto"/>
              <w:jc w:val="center"/>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Benefits</w:t>
            </w:r>
          </w:p>
        </w:tc>
      </w:tr>
      <w:tr w:rsidR="00B764FC" w:rsidRPr="00017FA2" w14:paraId="254EB6A8" w14:textId="77777777">
        <w:tc>
          <w:tcPr>
            <w:tcW w:w="9214" w:type="dxa"/>
            <w:gridSpan w:val="6"/>
            <w:tcBorders>
              <w:left w:val="nil"/>
              <w:right w:val="nil"/>
            </w:tcBorders>
            <w:shd w:val="clear" w:color="auto" w:fill="C0C0C0"/>
          </w:tcPr>
          <w:p w14:paraId="715D59E6" w14:textId="77777777" w:rsidR="00B764FC" w:rsidRPr="00017FA2" w:rsidRDefault="00B764FC" w:rsidP="0054190D">
            <w:pPr>
              <w:pStyle w:val="ListParagraph"/>
              <w:numPr>
                <w:ilvl w:val="0"/>
                <w:numId w:val="66"/>
              </w:numPr>
              <w:spacing w:line="276" w:lineRule="auto"/>
              <w:rPr>
                <w:rFonts w:asciiTheme="minorHAnsi" w:hAnsiTheme="minorHAnsi" w:cstheme="minorHAnsi"/>
                <w:b/>
                <w:bCs/>
                <w:sz w:val="20"/>
                <w:szCs w:val="20"/>
              </w:rPr>
            </w:pPr>
            <w:r w:rsidRPr="00017FA2">
              <w:rPr>
                <w:rFonts w:asciiTheme="minorHAnsi" w:hAnsiTheme="minorHAnsi" w:cstheme="minorHAnsi"/>
                <w:b/>
                <w:bCs/>
                <w:sz w:val="20"/>
                <w:szCs w:val="20"/>
              </w:rPr>
              <w:t>Leadership Strategies</w:t>
            </w:r>
          </w:p>
        </w:tc>
      </w:tr>
      <w:tr w:rsidR="00B764FC" w:rsidRPr="00017FA2" w14:paraId="7BC26C25" w14:textId="77777777">
        <w:trPr>
          <w:cantSplit/>
          <w:trHeight w:val="1308"/>
        </w:trPr>
        <w:tc>
          <w:tcPr>
            <w:tcW w:w="1888" w:type="dxa"/>
            <w:tcBorders>
              <w:left w:val="nil"/>
              <w:right w:val="nil"/>
            </w:tcBorders>
            <w:vAlign w:val="center"/>
          </w:tcPr>
          <w:p w14:paraId="57C2064C" w14:textId="77777777" w:rsidR="00B764FC" w:rsidRPr="00017FA2" w:rsidRDefault="00B764FC" w:rsidP="00077040">
            <w:pPr>
              <w:pStyle w:val="ListParagraph"/>
              <w:numPr>
                <w:ilvl w:val="0"/>
                <w:numId w:val="25"/>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Establish an Affordable Housing Advisory Committee to Council</w:t>
            </w:r>
          </w:p>
        </w:tc>
        <w:tc>
          <w:tcPr>
            <w:tcW w:w="3294" w:type="dxa"/>
            <w:gridSpan w:val="2"/>
            <w:tcBorders>
              <w:left w:val="nil"/>
              <w:right w:val="nil"/>
            </w:tcBorders>
          </w:tcPr>
          <w:p w14:paraId="49788573"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Involve key stakeholder groups (including community services, private business, property development industry, and DHHS) in meetings to: consider City of Greater Geelong reports on issues and activities related to social and affordable housing; and provide feedback on issues and opportunities for an increase in the supply of social and affordable housing in Geelong</w:t>
            </w:r>
          </w:p>
        </w:tc>
        <w:tc>
          <w:tcPr>
            <w:tcW w:w="1073" w:type="dxa"/>
            <w:tcBorders>
              <w:left w:val="nil"/>
              <w:right w:val="nil"/>
            </w:tcBorders>
            <w:vAlign w:val="center"/>
          </w:tcPr>
          <w:p w14:paraId="2FA45F93"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Short-term </w:t>
            </w:r>
          </w:p>
        </w:tc>
        <w:tc>
          <w:tcPr>
            <w:tcW w:w="1209" w:type="dxa"/>
            <w:vMerge w:val="restart"/>
            <w:tcBorders>
              <w:left w:val="nil"/>
              <w:right w:val="nil"/>
            </w:tcBorders>
            <w:vAlign w:val="center"/>
          </w:tcPr>
          <w:p w14:paraId="4FF3593A" w14:textId="77777777" w:rsidR="00B764FC" w:rsidRPr="00017FA2" w:rsidRDefault="00B764FC">
            <w:pPr>
              <w:spacing w:line="276" w:lineRule="auto"/>
              <w:jc w:val="center"/>
              <w:rPr>
                <w:rFonts w:asciiTheme="minorHAnsi" w:hAnsiTheme="minorHAnsi" w:cstheme="minorHAnsi"/>
                <w:sz w:val="18"/>
                <w:szCs w:val="18"/>
              </w:rPr>
            </w:pPr>
            <w:r w:rsidRPr="00017FA2">
              <w:rPr>
                <w:rFonts w:asciiTheme="minorHAnsi" w:hAnsiTheme="minorHAnsi" w:cstheme="minorHAnsi"/>
                <w:sz w:val="18"/>
                <w:szCs w:val="18"/>
              </w:rPr>
              <w:t>An internal Social Housing Team including research and policy expertise, urban planning expertise and public relations expertise</w:t>
            </w:r>
          </w:p>
          <w:p w14:paraId="7AC3399F" w14:textId="77777777" w:rsidR="00B764FC" w:rsidRPr="00017FA2" w:rsidRDefault="00B764FC" w:rsidP="00017FA2">
            <w:pPr>
              <w:spacing w:after="120" w:line="276" w:lineRule="auto"/>
              <w:outlineLvl w:val="0"/>
              <w:rPr>
                <w:rFonts w:asciiTheme="minorHAnsi" w:hAnsiTheme="minorHAnsi" w:cstheme="minorHAnsi"/>
                <w:sz w:val="18"/>
                <w:szCs w:val="18"/>
              </w:rPr>
            </w:pPr>
          </w:p>
        </w:tc>
        <w:tc>
          <w:tcPr>
            <w:tcW w:w="1750" w:type="dxa"/>
            <w:tcBorders>
              <w:left w:val="nil"/>
              <w:right w:val="nil"/>
            </w:tcBorders>
            <w:vAlign w:val="center"/>
          </w:tcPr>
          <w:p w14:paraId="2E869301"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Key stakeholder support for Council initiatives and policies</w:t>
            </w:r>
          </w:p>
        </w:tc>
      </w:tr>
      <w:tr w:rsidR="00B764FC" w:rsidRPr="00017FA2" w14:paraId="00029F4F" w14:textId="77777777" w:rsidTr="00433B20">
        <w:trPr>
          <w:cantSplit/>
          <w:trHeight w:val="986"/>
        </w:trPr>
        <w:tc>
          <w:tcPr>
            <w:tcW w:w="1888" w:type="dxa"/>
            <w:tcBorders>
              <w:left w:val="nil"/>
              <w:right w:val="nil"/>
            </w:tcBorders>
            <w:shd w:val="clear" w:color="auto" w:fill="F2F2F2" w:themeFill="background1" w:themeFillShade="F2"/>
            <w:vAlign w:val="center"/>
          </w:tcPr>
          <w:p w14:paraId="6CBBBF06" w14:textId="77777777" w:rsidR="00B764FC" w:rsidRPr="00017FA2" w:rsidRDefault="00B764FC" w:rsidP="00077040">
            <w:pPr>
              <w:pStyle w:val="ListParagraph"/>
              <w:numPr>
                <w:ilvl w:val="0"/>
                <w:numId w:val="25"/>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Develop a better understanding of social housing needs</w:t>
            </w:r>
          </w:p>
        </w:tc>
        <w:tc>
          <w:tcPr>
            <w:tcW w:w="3294" w:type="dxa"/>
            <w:gridSpan w:val="2"/>
            <w:tcBorders>
              <w:left w:val="nil"/>
              <w:right w:val="nil"/>
            </w:tcBorders>
            <w:shd w:val="clear" w:color="auto" w:fill="F2F2F2" w:themeFill="background1" w:themeFillShade="F2"/>
          </w:tcPr>
          <w:p w14:paraId="799C457C"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Publish data on housing need in the City of Greater Geelong which can inform the location, volume and type of required new social housing dwellings</w:t>
            </w:r>
          </w:p>
          <w:p w14:paraId="7B228D12" w14:textId="77777777" w:rsidR="00B764FC" w:rsidRPr="00017FA2" w:rsidRDefault="00B764FC">
            <w:pPr>
              <w:spacing w:line="276" w:lineRule="auto"/>
              <w:rPr>
                <w:rFonts w:asciiTheme="minorHAnsi" w:hAnsiTheme="minorHAnsi" w:cstheme="minorHAnsi"/>
                <w:sz w:val="18"/>
                <w:szCs w:val="18"/>
              </w:rPr>
            </w:pPr>
          </w:p>
          <w:p w14:paraId="778AE272"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Research and document appropriate housing responses to the different groups experiencing housing need</w:t>
            </w:r>
          </w:p>
        </w:tc>
        <w:tc>
          <w:tcPr>
            <w:tcW w:w="1073" w:type="dxa"/>
            <w:tcBorders>
              <w:left w:val="nil"/>
              <w:right w:val="nil"/>
            </w:tcBorders>
            <w:shd w:val="clear" w:color="auto" w:fill="F2F2F2" w:themeFill="background1" w:themeFillShade="F2"/>
            <w:vAlign w:val="center"/>
          </w:tcPr>
          <w:p w14:paraId="261E39CF"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Short-term </w:t>
            </w:r>
          </w:p>
        </w:tc>
        <w:tc>
          <w:tcPr>
            <w:tcW w:w="1209" w:type="dxa"/>
            <w:vMerge/>
            <w:tcBorders>
              <w:left w:val="nil"/>
              <w:right w:val="nil"/>
            </w:tcBorders>
            <w:shd w:val="clear" w:color="auto" w:fill="F2F2F2" w:themeFill="background1" w:themeFillShade="F2"/>
          </w:tcPr>
          <w:p w14:paraId="709C808E" w14:textId="77777777" w:rsidR="00B764FC" w:rsidRPr="00017FA2" w:rsidRDefault="00B764FC">
            <w:pPr>
              <w:pStyle w:val="ListParagraph"/>
              <w:spacing w:line="276" w:lineRule="auto"/>
              <w:ind w:left="394"/>
              <w:rPr>
                <w:rFonts w:asciiTheme="minorHAnsi" w:hAnsiTheme="minorHAnsi" w:cstheme="minorHAnsi"/>
                <w:sz w:val="18"/>
                <w:szCs w:val="18"/>
              </w:rPr>
            </w:pPr>
          </w:p>
        </w:tc>
        <w:tc>
          <w:tcPr>
            <w:tcW w:w="1750" w:type="dxa"/>
            <w:tcBorders>
              <w:left w:val="nil"/>
              <w:right w:val="nil"/>
            </w:tcBorders>
            <w:shd w:val="clear" w:color="auto" w:fill="F2F2F2" w:themeFill="background1" w:themeFillShade="F2"/>
            <w:vAlign w:val="center"/>
          </w:tcPr>
          <w:p w14:paraId="3EFCB6EE" w14:textId="4651C6FA" w:rsidR="00B764FC" w:rsidRPr="00017FA2" w:rsidRDefault="00B764FC" w:rsidP="006842AB">
            <w:pPr>
              <w:spacing w:line="276" w:lineRule="auto"/>
              <w:rPr>
                <w:rFonts w:asciiTheme="minorHAnsi" w:hAnsiTheme="minorHAnsi" w:cstheme="minorHAnsi"/>
                <w:sz w:val="18"/>
                <w:szCs w:val="18"/>
              </w:rPr>
            </w:pPr>
            <w:r w:rsidRPr="00017FA2">
              <w:rPr>
                <w:rFonts w:asciiTheme="minorHAnsi" w:hAnsiTheme="minorHAnsi" w:cstheme="minorHAnsi"/>
                <w:sz w:val="18"/>
                <w:szCs w:val="18"/>
              </w:rPr>
              <w:t>Evidence based policies in relation to social housing</w:t>
            </w:r>
          </w:p>
        </w:tc>
      </w:tr>
      <w:tr w:rsidR="00B764FC" w:rsidRPr="00017FA2" w14:paraId="6BCB40A0" w14:textId="77777777">
        <w:trPr>
          <w:cantSplit/>
        </w:trPr>
        <w:tc>
          <w:tcPr>
            <w:tcW w:w="1888" w:type="dxa"/>
            <w:tcBorders>
              <w:left w:val="nil"/>
              <w:right w:val="nil"/>
            </w:tcBorders>
            <w:vAlign w:val="center"/>
          </w:tcPr>
          <w:p w14:paraId="7FA63AD0" w14:textId="77777777" w:rsidR="00B764FC" w:rsidRPr="00017FA2" w:rsidRDefault="00B764FC" w:rsidP="00077040">
            <w:pPr>
              <w:pStyle w:val="ListParagraph"/>
              <w:numPr>
                <w:ilvl w:val="0"/>
                <w:numId w:val="25"/>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Raise community awareness of housing need and the benefits of social housing</w:t>
            </w:r>
          </w:p>
        </w:tc>
        <w:tc>
          <w:tcPr>
            <w:tcW w:w="3294" w:type="dxa"/>
            <w:gridSpan w:val="2"/>
            <w:tcBorders>
              <w:left w:val="nil"/>
              <w:right w:val="nil"/>
            </w:tcBorders>
          </w:tcPr>
          <w:p w14:paraId="272B48B5"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Promote the social and economic benefits of social housing to the community</w:t>
            </w:r>
          </w:p>
          <w:p w14:paraId="429114DB" w14:textId="77777777" w:rsidR="00B764FC" w:rsidRPr="00017FA2" w:rsidRDefault="00B764FC">
            <w:pPr>
              <w:spacing w:line="276" w:lineRule="auto"/>
              <w:rPr>
                <w:rFonts w:asciiTheme="minorHAnsi" w:hAnsiTheme="minorHAnsi" w:cstheme="minorHAnsi"/>
                <w:sz w:val="18"/>
                <w:szCs w:val="18"/>
              </w:rPr>
            </w:pPr>
          </w:p>
          <w:p w14:paraId="52D9EBE0"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Promote good practice examples of social housing including the positive impact on low income households</w:t>
            </w:r>
          </w:p>
        </w:tc>
        <w:tc>
          <w:tcPr>
            <w:tcW w:w="1073" w:type="dxa"/>
            <w:tcBorders>
              <w:left w:val="nil"/>
              <w:right w:val="nil"/>
            </w:tcBorders>
          </w:tcPr>
          <w:p w14:paraId="0D3AD3CF"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Short- term (dependent upon a dedicated resource to be funded by Council) </w:t>
            </w:r>
          </w:p>
        </w:tc>
        <w:tc>
          <w:tcPr>
            <w:tcW w:w="1209" w:type="dxa"/>
            <w:vMerge/>
            <w:tcBorders>
              <w:left w:val="nil"/>
              <w:right w:val="nil"/>
            </w:tcBorders>
          </w:tcPr>
          <w:p w14:paraId="24DC611A" w14:textId="77777777" w:rsidR="00B764FC" w:rsidRPr="00017FA2" w:rsidRDefault="00B764FC">
            <w:pPr>
              <w:pStyle w:val="ListParagraph"/>
              <w:spacing w:line="276" w:lineRule="auto"/>
              <w:ind w:left="394"/>
              <w:rPr>
                <w:rFonts w:asciiTheme="minorHAnsi" w:hAnsiTheme="minorHAnsi" w:cstheme="minorHAnsi"/>
                <w:sz w:val="18"/>
                <w:szCs w:val="18"/>
              </w:rPr>
            </w:pPr>
          </w:p>
        </w:tc>
        <w:tc>
          <w:tcPr>
            <w:tcW w:w="1750" w:type="dxa"/>
            <w:tcBorders>
              <w:left w:val="nil"/>
              <w:right w:val="nil"/>
            </w:tcBorders>
          </w:tcPr>
          <w:p w14:paraId="3585DF10"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Resident and community support for Council policies and for individual social housing projects undergoing planning approval</w:t>
            </w:r>
          </w:p>
        </w:tc>
      </w:tr>
      <w:tr w:rsidR="00B764FC" w:rsidRPr="00017FA2" w14:paraId="425D7D76" w14:textId="77777777" w:rsidTr="00433B20">
        <w:trPr>
          <w:cantSplit/>
          <w:trHeight w:val="1247"/>
        </w:trPr>
        <w:tc>
          <w:tcPr>
            <w:tcW w:w="1888" w:type="dxa"/>
            <w:tcBorders>
              <w:left w:val="nil"/>
              <w:right w:val="nil"/>
            </w:tcBorders>
            <w:shd w:val="clear" w:color="auto" w:fill="F2F2F2" w:themeFill="background1" w:themeFillShade="F2"/>
            <w:vAlign w:val="center"/>
          </w:tcPr>
          <w:p w14:paraId="6F7B35D4" w14:textId="774A875F" w:rsidR="00B764FC" w:rsidRPr="00017FA2" w:rsidRDefault="00B764FC" w:rsidP="00077040">
            <w:pPr>
              <w:pStyle w:val="ListParagraph"/>
              <w:numPr>
                <w:ilvl w:val="0"/>
                <w:numId w:val="25"/>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 xml:space="preserve">Articulate a clear understanding of </w:t>
            </w:r>
            <w:r w:rsidR="00FC60EB">
              <w:rPr>
                <w:rFonts w:asciiTheme="minorHAnsi" w:hAnsiTheme="minorHAnsi" w:cstheme="minorHAnsi"/>
                <w:b/>
                <w:bCs/>
                <w:sz w:val="18"/>
                <w:szCs w:val="18"/>
              </w:rPr>
              <w:t xml:space="preserve"> the City</w:t>
            </w:r>
            <w:r w:rsidRPr="00017FA2">
              <w:rPr>
                <w:rFonts w:asciiTheme="minorHAnsi" w:hAnsiTheme="minorHAnsi" w:cstheme="minorHAnsi"/>
                <w:b/>
                <w:bCs/>
                <w:sz w:val="18"/>
                <w:szCs w:val="18"/>
              </w:rPr>
              <w:t>’s role in the supply of social housing</w:t>
            </w:r>
          </w:p>
        </w:tc>
        <w:tc>
          <w:tcPr>
            <w:tcW w:w="3294" w:type="dxa"/>
            <w:gridSpan w:val="2"/>
            <w:tcBorders>
              <w:left w:val="nil"/>
              <w:right w:val="nil"/>
            </w:tcBorders>
            <w:shd w:val="clear" w:color="auto" w:fill="F2F2F2" w:themeFill="background1" w:themeFillShade="F2"/>
          </w:tcPr>
          <w:p w14:paraId="64CD0205"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Publish data on social housing supply</w:t>
            </w:r>
          </w:p>
          <w:p w14:paraId="27D36B56" w14:textId="77777777" w:rsidR="00B764FC" w:rsidRPr="00017FA2" w:rsidRDefault="00B764FC">
            <w:pPr>
              <w:spacing w:line="276" w:lineRule="auto"/>
              <w:rPr>
                <w:rFonts w:asciiTheme="minorHAnsi" w:hAnsiTheme="minorHAnsi" w:cstheme="minorHAnsi"/>
                <w:sz w:val="18"/>
                <w:szCs w:val="18"/>
              </w:rPr>
            </w:pPr>
          </w:p>
          <w:p w14:paraId="74C97CD5"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Monitor Commonwealth and State Government policies which impact on housing supply and promote opportunities that will benefit Geelong</w:t>
            </w:r>
          </w:p>
          <w:p w14:paraId="70C6F93A" w14:textId="77777777" w:rsidR="00B764FC" w:rsidRPr="00017FA2" w:rsidRDefault="00B764FC">
            <w:pPr>
              <w:spacing w:line="276" w:lineRule="auto"/>
              <w:rPr>
                <w:rFonts w:asciiTheme="minorHAnsi" w:hAnsiTheme="minorHAnsi" w:cstheme="minorHAnsi"/>
                <w:sz w:val="18"/>
                <w:szCs w:val="18"/>
              </w:rPr>
            </w:pPr>
          </w:p>
          <w:p w14:paraId="1C541E08"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Advocate for increased investment in social housing to Commonwealth and State Governments</w:t>
            </w:r>
          </w:p>
        </w:tc>
        <w:tc>
          <w:tcPr>
            <w:tcW w:w="1073" w:type="dxa"/>
            <w:tcBorders>
              <w:left w:val="nil"/>
              <w:right w:val="nil"/>
            </w:tcBorders>
            <w:shd w:val="clear" w:color="auto" w:fill="F2F2F2" w:themeFill="background1" w:themeFillShade="F2"/>
            <w:vAlign w:val="center"/>
          </w:tcPr>
          <w:p w14:paraId="6210EB67"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Short- term </w:t>
            </w:r>
          </w:p>
        </w:tc>
        <w:tc>
          <w:tcPr>
            <w:tcW w:w="1209" w:type="dxa"/>
            <w:vMerge/>
            <w:tcBorders>
              <w:left w:val="nil"/>
              <w:right w:val="nil"/>
            </w:tcBorders>
            <w:shd w:val="clear" w:color="auto" w:fill="F2F2F2" w:themeFill="background1" w:themeFillShade="F2"/>
          </w:tcPr>
          <w:p w14:paraId="3E23A7BC" w14:textId="77777777" w:rsidR="00B764FC" w:rsidRPr="00017FA2" w:rsidRDefault="00B764FC">
            <w:pPr>
              <w:spacing w:line="276" w:lineRule="auto"/>
              <w:rPr>
                <w:rFonts w:asciiTheme="minorHAnsi" w:hAnsiTheme="minorHAnsi" w:cstheme="minorHAnsi"/>
                <w:sz w:val="18"/>
                <w:szCs w:val="18"/>
              </w:rPr>
            </w:pPr>
          </w:p>
        </w:tc>
        <w:tc>
          <w:tcPr>
            <w:tcW w:w="1750" w:type="dxa"/>
            <w:vMerge w:val="restart"/>
            <w:tcBorders>
              <w:left w:val="nil"/>
              <w:right w:val="nil"/>
            </w:tcBorders>
            <w:shd w:val="clear" w:color="auto" w:fill="F2F2F2" w:themeFill="background1" w:themeFillShade="F2"/>
            <w:vAlign w:val="center"/>
          </w:tcPr>
          <w:p w14:paraId="78E69E8D"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Informed negotiations with other levels of government and better resourced social housing programs</w:t>
            </w:r>
          </w:p>
        </w:tc>
      </w:tr>
      <w:tr w:rsidR="00B764FC" w:rsidRPr="00017FA2" w14:paraId="7BA38328" w14:textId="77777777">
        <w:trPr>
          <w:cantSplit/>
          <w:trHeight w:val="1247"/>
        </w:trPr>
        <w:tc>
          <w:tcPr>
            <w:tcW w:w="1888" w:type="dxa"/>
            <w:tcBorders>
              <w:left w:val="nil"/>
              <w:right w:val="nil"/>
            </w:tcBorders>
            <w:shd w:val="clear" w:color="auto" w:fill="FFFFFF"/>
            <w:vAlign w:val="center"/>
          </w:tcPr>
          <w:p w14:paraId="17A2E39F" w14:textId="77777777" w:rsidR="00B764FC" w:rsidRPr="00017FA2" w:rsidRDefault="00B764FC" w:rsidP="00077040">
            <w:pPr>
              <w:pStyle w:val="ListParagraph"/>
              <w:numPr>
                <w:ilvl w:val="0"/>
                <w:numId w:val="25"/>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 xml:space="preserve">Support the inclusion of mandatory planning controls </w:t>
            </w:r>
          </w:p>
        </w:tc>
        <w:tc>
          <w:tcPr>
            <w:tcW w:w="3294" w:type="dxa"/>
            <w:gridSpan w:val="2"/>
            <w:tcBorders>
              <w:left w:val="nil"/>
              <w:right w:val="nil"/>
            </w:tcBorders>
            <w:shd w:val="clear" w:color="auto" w:fill="FFFFFF"/>
            <w:vAlign w:val="center"/>
          </w:tcPr>
          <w:p w14:paraId="5F0316BD"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Advocate to the State Government for the inclusion of mandatory planning controls in the Victorian planning for the provision of affordable housing </w:t>
            </w:r>
          </w:p>
        </w:tc>
        <w:tc>
          <w:tcPr>
            <w:tcW w:w="1073" w:type="dxa"/>
            <w:tcBorders>
              <w:left w:val="nil"/>
              <w:right w:val="nil"/>
            </w:tcBorders>
            <w:shd w:val="clear" w:color="auto" w:fill="FFFFFF"/>
            <w:vAlign w:val="center"/>
          </w:tcPr>
          <w:p w14:paraId="148C318C"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Ongoing </w:t>
            </w:r>
          </w:p>
        </w:tc>
        <w:tc>
          <w:tcPr>
            <w:tcW w:w="1209" w:type="dxa"/>
            <w:vMerge/>
            <w:tcBorders>
              <w:left w:val="nil"/>
              <w:right w:val="nil"/>
            </w:tcBorders>
            <w:shd w:val="clear" w:color="auto" w:fill="FFFFFF"/>
          </w:tcPr>
          <w:p w14:paraId="61557603" w14:textId="77777777" w:rsidR="00B764FC" w:rsidRPr="00017FA2" w:rsidRDefault="00B764FC">
            <w:pPr>
              <w:spacing w:line="276" w:lineRule="auto"/>
              <w:rPr>
                <w:rFonts w:asciiTheme="minorHAnsi" w:hAnsiTheme="minorHAnsi" w:cstheme="minorHAnsi"/>
                <w:sz w:val="18"/>
                <w:szCs w:val="18"/>
              </w:rPr>
            </w:pPr>
          </w:p>
        </w:tc>
        <w:tc>
          <w:tcPr>
            <w:tcW w:w="1750" w:type="dxa"/>
            <w:vMerge/>
            <w:tcBorders>
              <w:left w:val="nil"/>
              <w:right w:val="nil"/>
            </w:tcBorders>
            <w:shd w:val="clear" w:color="auto" w:fill="FFFFFF"/>
          </w:tcPr>
          <w:p w14:paraId="269D4D19" w14:textId="77777777" w:rsidR="00B764FC" w:rsidRPr="00017FA2" w:rsidRDefault="00B764FC">
            <w:pPr>
              <w:spacing w:line="276" w:lineRule="auto"/>
              <w:rPr>
                <w:rFonts w:asciiTheme="minorHAnsi" w:hAnsiTheme="minorHAnsi" w:cstheme="minorHAnsi"/>
                <w:sz w:val="18"/>
                <w:szCs w:val="18"/>
              </w:rPr>
            </w:pPr>
          </w:p>
        </w:tc>
      </w:tr>
    </w:tbl>
    <w:p w14:paraId="4AEB95E2" w14:textId="77777777" w:rsidR="00B764FC" w:rsidRDefault="00B764FC">
      <w:r>
        <w:br w:type="page"/>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12"/>
        <w:gridCol w:w="3256"/>
        <w:gridCol w:w="1134"/>
        <w:gridCol w:w="1148"/>
        <w:gridCol w:w="1869"/>
      </w:tblGrid>
      <w:tr w:rsidR="00B764FC" w:rsidRPr="00017FA2" w14:paraId="3FB92AD2" w14:textId="77777777" w:rsidTr="001A22EA">
        <w:trPr>
          <w:tblHeader/>
        </w:trPr>
        <w:tc>
          <w:tcPr>
            <w:tcW w:w="1812" w:type="dxa"/>
            <w:tcBorders>
              <w:left w:val="nil"/>
              <w:right w:val="nil"/>
            </w:tcBorders>
            <w:shd w:val="clear" w:color="auto" w:fill="002060"/>
          </w:tcPr>
          <w:p w14:paraId="4AE1DEC9" w14:textId="77777777" w:rsidR="00B764FC" w:rsidRPr="00017FA2" w:rsidRDefault="00B764FC">
            <w:pPr>
              <w:spacing w:line="276" w:lineRule="auto"/>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lastRenderedPageBreak/>
              <w:t>Strategy</w:t>
            </w:r>
          </w:p>
        </w:tc>
        <w:tc>
          <w:tcPr>
            <w:tcW w:w="3256" w:type="dxa"/>
            <w:tcBorders>
              <w:left w:val="nil"/>
              <w:right w:val="nil"/>
            </w:tcBorders>
            <w:shd w:val="clear" w:color="auto" w:fill="002060"/>
          </w:tcPr>
          <w:p w14:paraId="562C9D22" w14:textId="77777777" w:rsidR="00B764FC" w:rsidRPr="00017FA2" w:rsidRDefault="00B764FC">
            <w:pPr>
              <w:spacing w:before="40" w:after="40" w:line="276" w:lineRule="auto"/>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Actions</w:t>
            </w:r>
          </w:p>
        </w:tc>
        <w:tc>
          <w:tcPr>
            <w:tcW w:w="1134" w:type="dxa"/>
            <w:tcBorders>
              <w:left w:val="nil"/>
              <w:right w:val="nil"/>
            </w:tcBorders>
            <w:shd w:val="clear" w:color="auto" w:fill="002060"/>
          </w:tcPr>
          <w:p w14:paraId="08951292" w14:textId="77777777" w:rsidR="00B764FC" w:rsidRPr="00017FA2" w:rsidRDefault="00B764FC">
            <w:pPr>
              <w:spacing w:line="276" w:lineRule="auto"/>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Timelines</w:t>
            </w:r>
          </w:p>
        </w:tc>
        <w:tc>
          <w:tcPr>
            <w:tcW w:w="1148" w:type="dxa"/>
            <w:tcBorders>
              <w:left w:val="nil"/>
              <w:right w:val="nil"/>
            </w:tcBorders>
            <w:shd w:val="clear" w:color="auto" w:fill="002060"/>
          </w:tcPr>
          <w:p w14:paraId="59F6301F" w14:textId="77777777" w:rsidR="00B764FC" w:rsidRPr="00017FA2" w:rsidRDefault="00B764FC">
            <w:pPr>
              <w:spacing w:line="276" w:lineRule="auto"/>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Resources</w:t>
            </w:r>
          </w:p>
        </w:tc>
        <w:tc>
          <w:tcPr>
            <w:tcW w:w="1869" w:type="dxa"/>
            <w:tcBorders>
              <w:left w:val="nil"/>
              <w:right w:val="nil"/>
            </w:tcBorders>
            <w:shd w:val="clear" w:color="auto" w:fill="002060"/>
          </w:tcPr>
          <w:p w14:paraId="54A1013C" w14:textId="77777777" w:rsidR="00B764FC" w:rsidRPr="00017FA2" w:rsidRDefault="00B764FC">
            <w:pPr>
              <w:spacing w:line="276" w:lineRule="auto"/>
              <w:rPr>
                <w:rFonts w:asciiTheme="minorHAnsi" w:hAnsiTheme="minorHAnsi" w:cstheme="minorHAnsi"/>
                <w:b/>
                <w:bCs/>
                <w:color w:val="FFFFFF"/>
                <w:sz w:val="18"/>
                <w:szCs w:val="18"/>
              </w:rPr>
            </w:pPr>
            <w:r w:rsidRPr="00017FA2">
              <w:rPr>
                <w:rFonts w:asciiTheme="minorHAnsi" w:hAnsiTheme="minorHAnsi" w:cstheme="minorHAnsi"/>
                <w:b/>
                <w:bCs/>
                <w:color w:val="FFFFFF"/>
                <w:sz w:val="18"/>
                <w:szCs w:val="18"/>
              </w:rPr>
              <w:t>Benefits</w:t>
            </w:r>
          </w:p>
        </w:tc>
      </w:tr>
      <w:tr w:rsidR="00B764FC" w:rsidRPr="004B1023" w14:paraId="7BEF2729" w14:textId="77777777" w:rsidTr="001A22EA">
        <w:tc>
          <w:tcPr>
            <w:tcW w:w="5068" w:type="dxa"/>
            <w:gridSpan w:val="2"/>
            <w:tcBorders>
              <w:left w:val="nil"/>
              <w:right w:val="nil"/>
            </w:tcBorders>
            <w:shd w:val="clear" w:color="auto" w:fill="C0C0C0"/>
          </w:tcPr>
          <w:p w14:paraId="3DAC93D4" w14:textId="77777777" w:rsidR="00B764FC" w:rsidRPr="004B1023" w:rsidRDefault="00B764FC" w:rsidP="0054190D">
            <w:pPr>
              <w:pStyle w:val="ListParagraph"/>
              <w:numPr>
                <w:ilvl w:val="0"/>
                <w:numId w:val="66"/>
              </w:numPr>
              <w:spacing w:line="276" w:lineRule="auto"/>
              <w:rPr>
                <w:rFonts w:asciiTheme="minorHAnsi" w:hAnsiTheme="minorHAnsi" w:cstheme="minorHAnsi"/>
                <w:b/>
                <w:bCs/>
                <w:sz w:val="20"/>
                <w:szCs w:val="20"/>
              </w:rPr>
            </w:pPr>
            <w:r w:rsidRPr="004B1023">
              <w:rPr>
                <w:rFonts w:asciiTheme="minorHAnsi" w:hAnsiTheme="minorHAnsi" w:cstheme="minorHAnsi"/>
                <w:b/>
                <w:bCs/>
                <w:sz w:val="20"/>
                <w:szCs w:val="20"/>
              </w:rPr>
              <w:t>Investment Strategies</w:t>
            </w:r>
          </w:p>
        </w:tc>
        <w:tc>
          <w:tcPr>
            <w:tcW w:w="1134" w:type="dxa"/>
            <w:tcBorders>
              <w:left w:val="nil"/>
              <w:right w:val="nil"/>
            </w:tcBorders>
            <w:shd w:val="clear" w:color="auto" w:fill="C0C0C0"/>
          </w:tcPr>
          <w:p w14:paraId="20B0082E" w14:textId="77777777" w:rsidR="00B764FC" w:rsidRPr="004B1023" w:rsidRDefault="00B764FC">
            <w:pPr>
              <w:spacing w:line="276" w:lineRule="auto"/>
              <w:rPr>
                <w:rFonts w:asciiTheme="minorHAnsi" w:hAnsiTheme="minorHAnsi" w:cstheme="minorHAnsi"/>
                <w:b/>
                <w:bCs/>
                <w:sz w:val="20"/>
                <w:szCs w:val="20"/>
              </w:rPr>
            </w:pPr>
          </w:p>
        </w:tc>
        <w:tc>
          <w:tcPr>
            <w:tcW w:w="1148" w:type="dxa"/>
            <w:tcBorders>
              <w:left w:val="nil"/>
              <w:right w:val="nil"/>
            </w:tcBorders>
            <w:shd w:val="clear" w:color="auto" w:fill="C0C0C0"/>
          </w:tcPr>
          <w:p w14:paraId="1C369039" w14:textId="77777777" w:rsidR="00B764FC" w:rsidRPr="004B1023" w:rsidRDefault="00B764FC">
            <w:pPr>
              <w:spacing w:line="276" w:lineRule="auto"/>
              <w:rPr>
                <w:rFonts w:asciiTheme="minorHAnsi" w:hAnsiTheme="minorHAnsi" w:cstheme="minorHAnsi"/>
                <w:b/>
                <w:bCs/>
                <w:sz w:val="20"/>
                <w:szCs w:val="20"/>
              </w:rPr>
            </w:pPr>
          </w:p>
        </w:tc>
        <w:tc>
          <w:tcPr>
            <w:tcW w:w="1869" w:type="dxa"/>
            <w:tcBorders>
              <w:left w:val="nil"/>
              <w:right w:val="nil"/>
            </w:tcBorders>
            <w:shd w:val="clear" w:color="auto" w:fill="C0C0C0"/>
          </w:tcPr>
          <w:p w14:paraId="7447A76E" w14:textId="77777777" w:rsidR="00B764FC" w:rsidRPr="004B1023" w:rsidRDefault="00B764FC">
            <w:pPr>
              <w:spacing w:line="276" w:lineRule="auto"/>
              <w:rPr>
                <w:rFonts w:asciiTheme="minorHAnsi" w:hAnsiTheme="minorHAnsi" w:cstheme="minorHAnsi"/>
                <w:b/>
                <w:bCs/>
                <w:sz w:val="20"/>
                <w:szCs w:val="20"/>
              </w:rPr>
            </w:pPr>
          </w:p>
        </w:tc>
      </w:tr>
      <w:tr w:rsidR="00B764FC" w:rsidRPr="00017FA2" w14:paraId="223C42EB" w14:textId="77777777" w:rsidTr="001A22EA">
        <w:tc>
          <w:tcPr>
            <w:tcW w:w="1812" w:type="dxa"/>
            <w:tcBorders>
              <w:left w:val="nil"/>
              <w:right w:val="nil"/>
            </w:tcBorders>
            <w:vAlign w:val="center"/>
          </w:tcPr>
          <w:p w14:paraId="20BE4802" w14:textId="77777777" w:rsidR="00B764FC" w:rsidRPr="00017FA2" w:rsidRDefault="00B764FC" w:rsidP="00077040">
            <w:pPr>
              <w:pStyle w:val="ListParagraph"/>
              <w:numPr>
                <w:ilvl w:val="0"/>
                <w:numId w:val="14"/>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Demonstrate commitment through early investment in showcase projects</w:t>
            </w:r>
          </w:p>
        </w:tc>
        <w:tc>
          <w:tcPr>
            <w:tcW w:w="3256" w:type="dxa"/>
            <w:tcBorders>
              <w:left w:val="nil"/>
              <w:right w:val="nil"/>
            </w:tcBorders>
          </w:tcPr>
          <w:p w14:paraId="3EDD2ECC" w14:textId="77777777" w:rsidR="00B764FC" w:rsidRPr="00017FA2" w:rsidRDefault="00FF5CA4">
            <w:pPr>
              <w:spacing w:line="276" w:lineRule="auto"/>
              <w:rPr>
                <w:rFonts w:asciiTheme="minorHAnsi" w:hAnsiTheme="minorHAnsi" w:cstheme="minorHAnsi"/>
                <w:sz w:val="18"/>
                <w:szCs w:val="18"/>
              </w:rPr>
            </w:pPr>
            <w:r w:rsidRPr="00017FA2">
              <w:rPr>
                <w:rFonts w:asciiTheme="minorHAnsi" w:hAnsiTheme="minorHAnsi" w:cstheme="minorHAnsi"/>
                <w:sz w:val="18"/>
                <w:szCs w:val="18"/>
              </w:rPr>
              <w:t>Identify one or two suitable Council sites for the inclusion of social housing, employing best practice in social, economic and environmental sustainability</w:t>
            </w:r>
          </w:p>
          <w:p w14:paraId="4659192F" w14:textId="77777777" w:rsidR="00B764FC" w:rsidRPr="00017FA2" w:rsidRDefault="00B764FC">
            <w:pPr>
              <w:pStyle w:val="ListParagraph"/>
              <w:spacing w:line="276" w:lineRule="auto"/>
              <w:ind w:left="379"/>
              <w:rPr>
                <w:rFonts w:asciiTheme="minorHAnsi" w:hAnsiTheme="minorHAnsi" w:cstheme="minorHAnsi"/>
                <w:sz w:val="18"/>
                <w:szCs w:val="18"/>
              </w:rPr>
            </w:pPr>
          </w:p>
          <w:p w14:paraId="6327E814" w14:textId="77777777" w:rsidR="00B764FC" w:rsidRPr="00017FA2" w:rsidRDefault="00FF5CA4">
            <w:pPr>
              <w:spacing w:line="276" w:lineRule="auto"/>
              <w:rPr>
                <w:rFonts w:asciiTheme="minorHAnsi" w:hAnsiTheme="minorHAnsi" w:cstheme="minorHAnsi"/>
                <w:sz w:val="18"/>
                <w:szCs w:val="18"/>
              </w:rPr>
            </w:pPr>
            <w:r w:rsidRPr="00017FA2">
              <w:rPr>
                <w:rFonts w:asciiTheme="minorHAnsi" w:hAnsiTheme="minorHAnsi" w:cstheme="minorHAnsi"/>
                <w:sz w:val="18"/>
                <w:szCs w:val="18"/>
              </w:rPr>
              <w:t>Document and promote those developments within the City and externally to State and Commonwealth Governments</w:t>
            </w:r>
          </w:p>
        </w:tc>
        <w:tc>
          <w:tcPr>
            <w:tcW w:w="1134" w:type="dxa"/>
            <w:tcBorders>
              <w:left w:val="nil"/>
              <w:right w:val="nil"/>
            </w:tcBorders>
          </w:tcPr>
          <w:p w14:paraId="0CFF3676"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1-2 years</w:t>
            </w:r>
          </w:p>
        </w:tc>
        <w:tc>
          <w:tcPr>
            <w:tcW w:w="1148" w:type="dxa"/>
            <w:tcBorders>
              <w:left w:val="nil"/>
              <w:right w:val="nil"/>
            </w:tcBorders>
          </w:tcPr>
          <w:p w14:paraId="35D915A0"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Nil budget allocation but impact on balance sheet</w:t>
            </w:r>
          </w:p>
        </w:tc>
        <w:tc>
          <w:tcPr>
            <w:tcW w:w="1869" w:type="dxa"/>
            <w:tcBorders>
              <w:left w:val="nil"/>
              <w:right w:val="nil"/>
            </w:tcBorders>
          </w:tcPr>
          <w:p w14:paraId="641F5CE9"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Improved public awareness of both the quality and benefits of social housing</w:t>
            </w:r>
          </w:p>
        </w:tc>
      </w:tr>
      <w:tr w:rsidR="00B764FC" w:rsidRPr="00017FA2" w14:paraId="7E2C9BF0" w14:textId="77777777" w:rsidTr="001A22EA">
        <w:tc>
          <w:tcPr>
            <w:tcW w:w="1812" w:type="dxa"/>
            <w:tcBorders>
              <w:left w:val="nil"/>
              <w:right w:val="nil"/>
            </w:tcBorders>
            <w:shd w:val="clear" w:color="auto" w:fill="F2F2F2" w:themeFill="background1" w:themeFillShade="F2"/>
            <w:vAlign w:val="center"/>
          </w:tcPr>
          <w:p w14:paraId="7CDFF6E7" w14:textId="013842D9" w:rsidR="00B764FC" w:rsidRPr="00017FA2" w:rsidRDefault="00B764FC" w:rsidP="00077040">
            <w:pPr>
              <w:pStyle w:val="ListParagraph"/>
              <w:numPr>
                <w:ilvl w:val="0"/>
                <w:numId w:val="14"/>
              </w:numPr>
              <w:spacing w:line="276" w:lineRule="auto"/>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 xml:space="preserve">Invest in a </w:t>
            </w:r>
            <w:r w:rsidRPr="00017FA2">
              <w:rPr>
                <w:rFonts w:asciiTheme="minorHAnsi" w:hAnsiTheme="minorHAnsi" w:cstheme="minorHAnsi"/>
                <w:b/>
                <w:bCs/>
                <w:i/>
                <w:iCs/>
                <w:sz w:val="18"/>
                <w:szCs w:val="18"/>
              </w:rPr>
              <w:t>Social Housing Growth Agreement</w:t>
            </w:r>
            <w:r w:rsidR="00FC60EB">
              <w:rPr>
                <w:rFonts w:asciiTheme="minorHAnsi" w:hAnsiTheme="minorHAnsi" w:cstheme="minorHAnsi"/>
                <w:b/>
                <w:bCs/>
                <w:i/>
                <w:iCs/>
                <w:sz w:val="18"/>
                <w:szCs w:val="18"/>
              </w:rPr>
              <w:t xml:space="preserve"> </w:t>
            </w:r>
            <w:r w:rsidRPr="00017FA2">
              <w:rPr>
                <w:rFonts w:asciiTheme="minorHAnsi" w:hAnsiTheme="minorHAnsi" w:cstheme="minorHAnsi"/>
                <w:b/>
                <w:bCs/>
                <w:sz w:val="18"/>
                <w:szCs w:val="18"/>
              </w:rPr>
              <w:t xml:space="preserve"> for the City </w:t>
            </w:r>
          </w:p>
        </w:tc>
        <w:tc>
          <w:tcPr>
            <w:tcW w:w="3256" w:type="dxa"/>
            <w:tcBorders>
              <w:left w:val="nil"/>
              <w:right w:val="nil"/>
            </w:tcBorders>
            <w:shd w:val="clear" w:color="auto" w:fill="F2F2F2" w:themeFill="background1" w:themeFillShade="F2"/>
          </w:tcPr>
          <w:p w14:paraId="370FEB56" w14:textId="77777777" w:rsidR="00B764FC" w:rsidRPr="00017FA2" w:rsidRDefault="00FF5CA4">
            <w:pPr>
              <w:spacing w:line="276" w:lineRule="auto"/>
              <w:rPr>
                <w:rFonts w:asciiTheme="minorHAnsi" w:hAnsiTheme="minorHAnsi" w:cstheme="minorHAnsi"/>
                <w:sz w:val="18"/>
                <w:szCs w:val="18"/>
              </w:rPr>
            </w:pPr>
            <w:r w:rsidRPr="00017FA2">
              <w:rPr>
                <w:rFonts w:asciiTheme="minorHAnsi" w:hAnsiTheme="minorHAnsi" w:cstheme="minorHAnsi"/>
                <w:sz w:val="18"/>
                <w:szCs w:val="18"/>
              </w:rPr>
              <w:t>Contribute Council owned land which is surplus to Council requirements for residential developments that include social housing</w:t>
            </w:r>
          </w:p>
          <w:p w14:paraId="78C41FF9" w14:textId="77777777" w:rsidR="00B764FC" w:rsidRPr="00017FA2" w:rsidRDefault="00B764FC">
            <w:pPr>
              <w:spacing w:line="276" w:lineRule="auto"/>
              <w:rPr>
                <w:rFonts w:asciiTheme="minorHAnsi" w:hAnsiTheme="minorHAnsi" w:cstheme="minorHAnsi"/>
                <w:sz w:val="18"/>
                <w:szCs w:val="18"/>
              </w:rPr>
            </w:pPr>
          </w:p>
          <w:p w14:paraId="170B9C94" w14:textId="77777777" w:rsidR="00B764FC" w:rsidRPr="00017FA2" w:rsidRDefault="00FF5CA4">
            <w:pPr>
              <w:spacing w:line="276" w:lineRule="auto"/>
              <w:rPr>
                <w:rFonts w:asciiTheme="minorHAnsi" w:hAnsiTheme="minorHAnsi" w:cstheme="minorHAnsi"/>
                <w:sz w:val="18"/>
                <w:szCs w:val="18"/>
              </w:rPr>
            </w:pPr>
            <w:r w:rsidRPr="00017FA2">
              <w:rPr>
                <w:rFonts w:asciiTheme="minorHAnsi" w:hAnsiTheme="minorHAnsi" w:cstheme="minorHAnsi"/>
                <w:sz w:val="18"/>
                <w:szCs w:val="18"/>
              </w:rPr>
              <w:t>Annual budget contribution of $1M to City of Greater Geelong</w:t>
            </w:r>
            <w:r w:rsidRPr="00017FA2">
              <w:rPr>
                <w:rFonts w:asciiTheme="minorHAnsi" w:hAnsiTheme="minorHAnsi" w:cstheme="minorHAnsi"/>
                <w:i/>
                <w:iCs/>
                <w:sz w:val="18"/>
                <w:szCs w:val="18"/>
              </w:rPr>
              <w:t xml:space="preserve"> Social Housing Growth Strategy</w:t>
            </w:r>
            <w:r w:rsidRPr="00017FA2">
              <w:rPr>
                <w:rFonts w:asciiTheme="minorHAnsi" w:hAnsiTheme="minorHAnsi" w:cstheme="minorHAnsi"/>
                <w:sz w:val="18"/>
                <w:szCs w:val="18"/>
              </w:rPr>
              <w:t xml:space="preserve"> </w:t>
            </w:r>
          </w:p>
        </w:tc>
        <w:tc>
          <w:tcPr>
            <w:tcW w:w="1134" w:type="dxa"/>
            <w:tcBorders>
              <w:left w:val="nil"/>
              <w:right w:val="nil"/>
            </w:tcBorders>
            <w:shd w:val="clear" w:color="auto" w:fill="F2F2F2" w:themeFill="background1" w:themeFillShade="F2"/>
          </w:tcPr>
          <w:p w14:paraId="33829CD4"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Medium – Long term (this action needs to be part of an overall approach by the City) </w:t>
            </w:r>
          </w:p>
        </w:tc>
        <w:tc>
          <w:tcPr>
            <w:tcW w:w="1148" w:type="dxa"/>
            <w:tcBorders>
              <w:left w:val="nil"/>
              <w:right w:val="nil"/>
            </w:tcBorders>
            <w:shd w:val="clear" w:color="auto" w:fill="F2F2F2" w:themeFill="background1" w:themeFillShade="F2"/>
          </w:tcPr>
          <w:p w14:paraId="34C73A4C"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 xml:space="preserve"> $1M </w:t>
            </w:r>
          </w:p>
          <w:p w14:paraId="5A1441CF"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Subject to a successful Business Case</w:t>
            </w:r>
          </w:p>
        </w:tc>
        <w:tc>
          <w:tcPr>
            <w:tcW w:w="1869" w:type="dxa"/>
            <w:tcBorders>
              <w:left w:val="nil"/>
              <w:right w:val="nil"/>
            </w:tcBorders>
            <w:shd w:val="clear" w:color="auto" w:fill="F2F2F2" w:themeFill="background1" w:themeFillShade="F2"/>
          </w:tcPr>
          <w:p w14:paraId="562D97FC" w14:textId="77777777" w:rsidR="00B764FC" w:rsidRPr="00017FA2" w:rsidRDefault="00B764FC">
            <w:pPr>
              <w:spacing w:line="276" w:lineRule="auto"/>
              <w:rPr>
                <w:rFonts w:asciiTheme="minorHAnsi" w:hAnsiTheme="minorHAnsi" w:cstheme="minorHAnsi"/>
                <w:sz w:val="18"/>
                <w:szCs w:val="18"/>
              </w:rPr>
            </w:pPr>
            <w:r w:rsidRPr="00017FA2">
              <w:rPr>
                <w:rFonts w:asciiTheme="minorHAnsi" w:hAnsiTheme="minorHAnsi" w:cstheme="minorHAnsi"/>
                <w:sz w:val="18"/>
                <w:szCs w:val="18"/>
              </w:rPr>
              <w:t>Leverages significant increase in social housing investment from State and Commonwealth Governments</w:t>
            </w:r>
          </w:p>
          <w:p w14:paraId="2E2C8D11" w14:textId="77777777" w:rsidR="00B764FC" w:rsidRPr="00017FA2" w:rsidRDefault="00B764FC">
            <w:pPr>
              <w:spacing w:line="276" w:lineRule="auto"/>
              <w:rPr>
                <w:rFonts w:asciiTheme="minorHAnsi" w:hAnsiTheme="minorHAnsi" w:cstheme="minorHAnsi"/>
                <w:sz w:val="18"/>
                <w:szCs w:val="18"/>
              </w:rPr>
            </w:pPr>
          </w:p>
        </w:tc>
      </w:tr>
    </w:tbl>
    <w:p w14:paraId="1067536E" w14:textId="77777777" w:rsidR="00B764FC" w:rsidRDefault="00B764FC"/>
    <w:p w14:paraId="66F86592" w14:textId="77777777" w:rsidR="00B764FC" w:rsidRDefault="00B764FC">
      <w:r>
        <w:br w:type="page"/>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07"/>
        <w:gridCol w:w="42"/>
        <w:gridCol w:w="3077"/>
        <w:gridCol w:w="1233"/>
        <w:gridCol w:w="1278"/>
        <w:gridCol w:w="1777"/>
      </w:tblGrid>
      <w:tr w:rsidR="00B764FC" w:rsidRPr="00017FA2" w14:paraId="46E0F841" w14:textId="77777777" w:rsidTr="001A22EA">
        <w:trPr>
          <w:tblHeader/>
        </w:trPr>
        <w:tc>
          <w:tcPr>
            <w:tcW w:w="1807" w:type="dxa"/>
            <w:tcBorders>
              <w:left w:val="nil"/>
              <w:right w:val="nil"/>
            </w:tcBorders>
            <w:shd w:val="clear" w:color="auto" w:fill="002060"/>
            <w:vAlign w:val="center"/>
          </w:tcPr>
          <w:p w14:paraId="625D7E3C" w14:textId="77777777" w:rsidR="00B764FC" w:rsidRPr="00017FA2" w:rsidRDefault="00B764FC">
            <w:pPr>
              <w:rPr>
                <w:rFonts w:asciiTheme="minorHAnsi" w:hAnsiTheme="minorHAnsi" w:cstheme="minorHAnsi"/>
                <w:b/>
                <w:bCs/>
                <w:color w:val="FFFFFF"/>
                <w:sz w:val="20"/>
                <w:szCs w:val="20"/>
              </w:rPr>
            </w:pPr>
            <w:r w:rsidRPr="00017FA2">
              <w:rPr>
                <w:rFonts w:asciiTheme="minorHAnsi" w:hAnsiTheme="minorHAnsi" w:cstheme="minorHAnsi"/>
                <w:b/>
                <w:bCs/>
                <w:color w:val="FFFFFF"/>
                <w:sz w:val="20"/>
                <w:szCs w:val="20"/>
              </w:rPr>
              <w:lastRenderedPageBreak/>
              <w:t>Strategy</w:t>
            </w:r>
          </w:p>
        </w:tc>
        <w:tc>
          <w:tcPr>
            <w:tcW w:w="3119" w:type="dxa"/>
            <w:gridSpan w:val="2"/>
            <w:tcBorders>
              <w:left w:val="nil"/>
              <w:right w:val="nil"/>
            </w:tcBorders>
            <w:shd w:val="clear" w:color="auto" w:fill="002060"/>
            <w:vAlign w:val="center"/>
          </w:tcPr>
          <w:p w14:paraId="37C0A8BA" w14:textId="77777777" w:rsidR="00B764FC" w:rsidRPr="00017FA2" w:rsidRDefault="00B764FC">
            <w:pPr>
              <w:spacing w:before="40" w:after="40"/>
              <w:rPr>
                <w:rFonts w:asciiTheme="minorHAnsi" w:hAnsiTheme="minorHAnsi" w:cstheme="minorHAnsi"/>
                <w:b/>
                <w:bCs/>
                <w:color w:val="FFFFFF"/>
                <w:sz w:val="20"/>
                <w:szCs w:val="20"/>
              </w:rPr>
            </w:pPr>
            <w:r w:rsidRPr="00017FA2">
              <w:rPr>
                <w:rFonts w:asciiTheme="minorHAnsi" w:hAnsiTheme="minorHAnsi" w:cstheme="minorHAnsi"/>
                <w:b/>
                <w:bCs/>
                <w:color w:val="FFFFFF"/>
                <w:sz w:val="20"/>
                <w:szCs w:val="20"/>
              </w:rPr>
              <w:t>Actions</w:t>
            </w:r>
          </w:p>
        </w:tc>
        <w:tc>
          <w:tcPr>
            <w:tcW w:w="1233" w:type="dxa"/>
            <w:tcBorders>
              <w:left w:val="nil"/>
              <w:right w:val="nil"/>
            </w:tcBorders>
            <w:shd w:val="clear" w:color="auto" w:fill="002060"/>
            <w:vAlign w:val="center"/>
          </w:tcPr>
          <w:p w14:paraId="7515B4BE" w14:textId="77777777" w:rsidR="00B764FC" w:rsidRPr="00017FA2" w:rsidRDefault="00B764FC">
            <w:pPr>
              <w:jc w:val="center"/>
              <w:rPr>
                <w:rFonts w:asciiTheme="minorHAnsi" w:hAnsiTheme="minorHAnsi" w:cstheme="minorHAnsi"/>
                <w:b/>
                <w:bCs/>
                <w:color w:val="FFFFFF"/>
                <w:sz w:val="20"/>
                <w:szCs w:val="20"/>
              </w:rPr>
            </w:pPr>
            <w:r w:rsidRPr="00017FA2">
              <w:rPr>
                <w:rFonts w:asciiTheme="minorHAnsi" w:hAnsiTheme="minorHAnsi" w:cstheme="minorHAnsi"/>
                <w:b/>
                <w:bCs/>
                <w:color w:val="FFFFFF"/>
                <w:sz w:val="20"/>
                <w:szCs w:val="20"/>
              </w:rPr>
              <w:t>Timelines</w:t>
            </w:r>
          </w:p>
        </w:tc>
        <w:tc>
          <w:tcPr>
            <w:tcW w:w="1278" w:type="dxa"/>
            <w:tcBorders>
              <w:left w:val="nil"/>
              <w:right w:val="nil"/>
            </w:tcBorders>
            <w:shd w:val="clear" w:color="auto" w:fill="002060"/>
            <w:vAlign w:val="center"/>
          </w:tcPr>
          <w:p w14:paraId="5CC3E0AC" w14:textId="77777777" w:rsidR="00B764FC" w:rsidRPr="00017FA2" w:rsidRDefault="00B764FC">
            <w:pPr>
              <w:jc w:val="center"/>
              <w:rPr>
                <w:rFonts w:asciiTheme="minorHAnsi" w:hAnsiTheme="minorHAnsi" w:cstheme="minorHAnsi"/>
                <w:b/>
                <w:bCs/>
                <w:color w:val="FFFFFF"/>
                <w:sz w:val="20"/>
                <w:szCs w:val="20"/>
              </w:rPr>
            </w:pPr>
            <w:r w:rsidRPr="00017FA2">
              <w:rPr>
                <w:rFonts w:asciiTheme="minorHAnsi" w:hAnsiTheme="minorHAnsi" w:cstheme="minorHAnsi"/>
                <w:b/>
                <w:bCs/>
                <w:color w:val="FFFFFF"/>
                <w:sz w:val="20"/>
                <w:szCs w:val="20"/>
              </w:rPr>
              <w:t>Resources</w:t>
            </w:r>
          </w:p>
        </w:tc>
        <w:tc>
          <w:tcPr>
            <w:tcW w:w="1777" w:type="dxa"/>
            <w:tcBorders>
              <w:left w:val="nil"/>
              <w:right w:val="nil"/>
            </w:tcBorders>
            <w:shd w:val="clear" w:color="auto" w:fill="002060"/>
            <w:vAlign w:val="center"/>
          </w:tcPr>
          <w:p w14:paraId="618F05DE" w14:textId="77777777" w:rsidR="00B764FC" w:rsidRPr="00017FA2" w:rsidRDefault="00B764FC">
            <w:pPr>
              <w:jc w:val="center"/>
              <w:rPr>
                <w:rFonts w:asciiTheme="minorHAnsi" w:hAnsiTheme="minorHAnsi" w:cstheme="minorHAnsi"/>
                <w:b/>
                <w:bCs/>
                <w:color w:val="FFFFFF"/>
                <w:sz w:val="20"/>
                <w:szCs w:val="20"/>
              </w:rPr>
            </w:pPr>
            <w:r w:rsidRPr="00017FA2">
              <w:rPr>
                <w:rFonts w:asciiTheme="minorHAnsi" w:hAnsiTheme="minorHAnsi" w:cstheme="minorHAnsi"/>
                <w:b/>
                <w:bCs/>
                <w:color w:val="FFFFFF"/>
                <w:sz w:val="20"/>
                <w:szCs w:val="20"/>
              </w:rPr>
              <w:t>Benefits</w:t>
            </w:r>
          </w:p>
        </w:tc>
      </w:tr>
      <w:tr w:rsidR="00B764FC" w:rsidRPr="00606481" w14:paraId="462C0BC8" w14:textId="77777777" w:rsidTr="001A22EA">
        <w:tc>
          <w:tcPr>
            <w:tcW w:w="4926" w:type="dxa"/>
            <w:gridSpan w:val="3"/>
            <w:tcBorders>
              <w:left w:val="nil"/>
              <w:right w:val="nil"/>
            </w:tcBorders>
            <w:shd w:val="clear" w:color="auto" w:fill="C0C0C0"/>
          </w:tcPr>
          <w:p w14:paraId="3FA0B0F4" w14:textId="77777777" w:rsidR="00B764FC" w:rsidRPr="00606481" w:rsidRDefault="00B764FC" w:rsidP="0054190D">
            <w:pPr>
              <w:pStyle w:val="ListParagraph"/>
              <w:numPr>
                <w:ilvl w:val="0"/>
                <w:numId w:val="66"/>
              </w:numPr>
              <w:rPr>
                <w:rFonts w:asciiTheme="minorHAnsi" w:hAnsiTheme="minorHAnsi" w:cstheme="minorHAnsi"/>
                <w:b/>
                <w:bCs/>
                <w:sz w:val="20"/>
                <w:szCs w:val="20"/>
              </w:rPr>
            </w:pPr>
            <w:r w:rsidRPr="00606481">
              <w:rPr>
                <w:rFonts w:asciiTheme="minorHAnsi" w:hAnsiTheme="minorHAnsi" w:cstheme="minorHAnsi"/>
                <w:b/>
                <w:bCs/>
                <w:sz w:val="20"/>
                <w:szCs w:val="20"/>
              </w:rPr>
              <w:t>Planning Strategies</w:t>
            </w:r>
          </w:p>
        </w:tc>
        <w:tc>
          <w:tcPr>
            <w:tcW w:w="1233" w:type="dxa"/>
            <w:tcBorders>
              <w:left w:val="nil"/>
              <w:right w:val="nil"/>
            </w:tcBorders>
            <w:shd w:val="clear" w:color="auto" w:fill="C0C0C0"/>
          </w:tcPr>
          <w:p w14:paraId="12B1443B" w14:textId="77777777" w:rsidR="00B764FC" w:rsidRPr="00606481" w:rsidRDefault="00B764FC">
            <w:pPr>
              <w:rPr>
                <w:rFonts w:asciiTheme="minorHAnsi" w:hAnsiTheme="minorHAnsi" w:cstheme="minorHAnsi"/>
                <w:b/>
                <w:bCs/>
                <w:sz w:val="20"/>
                <w:szCs w:val="20"/>
              </w:rPr>
            </w:pPr>
          </w:p>
        </w:tc>
        <w:tc>
          <w:tcPr>
            <w:tcW w:w="1278" w:type="dxa"/>
            <w:tcBorders>
              <w:left w:val="nil"/>
              <w:right w:val="nil"/>
            </w:tcBorders>
            <w:shd w:val="clear" w:color="auto" w:fill="C0C0C0"/>
          </w:tcPr>
          <w:p w14:paraId="359338C4" w14:textId="77777777" w:rsidR="00B764FC" w:rsidRPr="00606481" w:rsidRDefault="00B764FC">
            <w:pPr>
              <w:rPr>
                <w:rFonts w:asciiTheme="minorHAnsi" w:hAnsiTheme="minorHAnsi" w:cstheme="minorHAnsi"/>
                <w:b/>
                <w:bCs/>
                <w:sz w:val="20"/>
                <w:szCs w:val="20"/>
              </w:rPr>
            </w:pPr>
          </w:p>
        </w:tc>
        <w:tc>
          <w:tcPr>
            <w:tcW w:w="1777" w:type="dxa"/>
            <w:tcBorders>
              <w:left w:val="nil"/>
              <w:right w:val="nil"/>
            </w:tcBorders>
            <w:shd w:val="clear" w:color="auto" w:fill="C0C0C0"/>
          </w:tcPr>
          <w:p w14:paraId="6BF58CEB" w14:textId="77777777" w:rsidR="00B764FC" w:rsidRPr="00606481" w:rsidRDefault="00B764FC">
            <w:pPr>
              <w:rPr>
                <w:rFonts w:asciiTheme="minorHAnsi" w:hAnsiTheme="minorHAnsi" w:cstheme="minorHAnsi"/>
                <w:b/>
                <w:bCs/>
                <w:sz w:val="20"/>
                <w:szCs w:val="20"/>
              </w:rPr>
            </w:pPr>
          </w:p>
        </w:tc>
      </w:tr>
      <w:tr w:rsidR="00B764FC" w:rsidRPr="00017FA2" w14:paraId="079FD971" w14:textId="77777777" w:rsidTr="001A22EA">
        <w:tc>
          <w:tcPr>
            <w:tcW w:w="1849" w:type="dxa"/>
            <w:gridSpan w:val="2"/>
            <w:tcBorders>
              <w:left w:val="nil"/>
              <w:right w:val="nil"/>
            </w:tcBorders>
            <w:shd w:val="clear" w:color="auto" w:fill="F2F2F2" w:themeFill="background1" w:themeFillShade="F2"/>
            <w:vAlign w:val="center"/>
          </w:tcPr>
          <w:p w14:paraId="22CCCD9A" w14:textId="77777777" w:rsidR="00B764FC" w:rsidRPr="00017FA2" w:rsidRDefault="00FF5CA4" w:rsidP="00077040">
            <w:pPr>
              <w:pStyle w:val="ListParagraph"/>
              <w:numPr>
                <w:ilvl w:val="0"/>
                <w:numId w:val="26"/>
              </w:numPr>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Amend the Greater Geelong Planning Scheme to require the inclusion of social and affordable housing in new developments based on identified need</w:t>
            </w:r>
          </w:p>
        </w:tc>
        <w:tc>
          <w:tcPr>
            <w:tcW w:w="3077" w:type="dxa"/>
            <w:tcBorders>
              <w:left w:val="nil"/>
              <w:right w:val="nil"/>
            </w:tcBorders>
            <w:shd w:val="clear" w:color="auto" w:fill="F2F2F2" w:themeFill="background1" w:themeFillShade="F2"/>
          </w:tcPr>
          <w:p w14:paraId="1211CED9" w14:textId="77777777" w:rsidR="00442909" w:rsidRPr="009135F8" w:rsidRDefault="00442909" w:rsidP="00442909">
            <w:pPr>
              <w:spacing w:line="276" w:lineRule="auto"/>
              <w:rPr>
                <w:rFonts w:asciiTheme="minorHAnsi" w:hAnsiTheme="minorHAnsi" w:cstheme="minorHAnsi"/>
                <w:sz w:val="18"/>
                <w:szCs w:val="18"/>
              </w:rPr>
            </w:pPr>
            <w:r w:rsidRPr="009135F8">
              <w:rPr>
                <w:rFonts w:asciiTheme="minorHAnsi" w:hAnsiTheme="minorHAnsi" w:cstheme="minorHAnsi"/>
                <w:sz w:val="18"/>
                <w:szCs w:val="18"/>
              </w:rPr>
              <w:t>The State Government has not set a mandatory or minimum affordable housing requirement.</w:t>
            </w:r>
          </w:p>
          <w:p w14:paraId="3BD7B0FA" w14:textId="77777777" w:rsidR="00442909" w:rsidRPr="009135F8" w:rsidRDefault="00442909" w:rsidP="00442909">
            <w:pPr>
              <w:spacing w:line="276" w:lineRule="auto"/>
              <w:rPr>
                <w:rFonts w:asciiTheme="minorHAnsi" w:hAnsiTheme="minorHAnsi" w:cstheme="minorHAnsi"/>
                <w:sz w:val="18"/>
                <w:szCs w:val="18"/>
              </w:rPr>
            </w:pPr>
          </w:p>
          <w:p w14:paraId="5039289B" w14:textId="77777777" w:rsidR="00442909" w:rsidRPr="009135F8" w:rsidRDefault="00442909" w:rsidP="00442909">
            <w:pPr>
              <w:spacing w:line="276" w:lineRule="auto"/>
              <w:rPr>
                <w:rFonts w:asciiTheme="minorHAnsi" w:hAnsiTheme="minorHAnsi" w:cstheme="minorHAnsi"/>
                <w:sz w:val="18"/>
                <w:szCs w:val="18"/>
              </w:rPr>
            </w:pPr>
            <w:r w:rsidRPr="009135F8">
              <w:rPr>
                <w:rFonts w:asciiTheme="minorHAnsi" w:hAnsiTheme="minorHAnsi" w:cstheme="minorHAnsi"/>
                <w:sz w:val="18"/>
                <w:szCs w:val="18"/>
              </w:rPr>
              <w:t>There is a broad state based policy supporting the provision of affordable housing. There is a broad strategic planning basis to include affordable housing matters in local policy and in site specific planning controls.</w:t>
            </w:r>
          </w:p>
          <w:p w14:paraId="5CAD4B86" w14:textId="77777777" w:rsidR="00442909" w:rsidRDefault="00442909" w:rsidP="00442909">
            <w:pPr>
              <w:spacing w:line="276" w:lineRule="auto"/>
              <w:rPr>
                <w:rFonts w:cstheme="minorHAnsi"/>
                <w:sz w:val="18"/>
                <w:szCs w:val="18"/>
              </w:rPr>
            </w:pPr>
          </w:p>
          <w:p w14:paraId="25F84D89"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 xml:space="preserve">The City will include the current and future demand and supply of affordable housing within the municipality in the Planning Policy Framework. </w:t>
            </w:r>
          </w:p>
          <w:p w14:paraId="41C34A46" w14:textId="77777777" w:rsidR="00B764FC" w:rsidRPr="00017FA2" w:rsidRDefault="00B764FC">
            <w:pPr>
              <w:rPr>
                <w:rFonts w:asciiTheme="minorHAnsi" w:hAnsiTheme="minorHAnsi" w:cstheme="minorHAnsi"/>
                <w:sz w:val="18"/>
                <w:szCs w:val="18"/>
              </w:rPr>
            </w:pPr>
          </w:p>
          <w:p w14:paraId="7C054089"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Future housing development will include a meaningful contribution to meeting the identified needs for social and affordable housing where there is a demonstrated uplift in land value</w:t>
            </w:r>
          </w:p>
          <w:p w14:paraId="7089B131" w14:textId="77777777" w:rsidR="00B764FC" w:rsidRPr="00017FA2" w:rsidRDefault="00B764FC">
            <w:pPr>
              <w:rPr>
                <w:rFonts w:asciiTheme="minorHAnsi" w:hAnsiTheme="minorHAnsi" w:cstheme="minorHAnsi"/>
                <w:sz w:val="18"/>
                <w:szCs w:val="18"/>
              </w:rPr>
            </w:pPr>
          </w:p>
          <w:p w14:paraId="6D5F9484" w14:textId="77777777" w:rsidR="00B764FC" w:rsidRPr="00017FA2" w:rsidRDefault="00FF5CA4">
            <w:pPr>
              <w:spacing w:after="240"/>
              <w:rPr>
                <w:rFonts w:asciiTheme="minorHAnsi" w:hAnsiTheme="minorHAnsi" w:cstheme="minorHAnsi"/>
                <w:sz w:val="18"/>
                <w:szCs w:val="18"/>
              </w:rPr>
            </w:pPr>
            <w:r w:rsidRPr="00017FA2">
              <w:rPr>
                <w:rFonts w:asciiTheme="minorHAnsi" w:hAnsiTheme="minorHAnsi" w:cstheme="minorHAnsi"/>
                <w:sz w:val="18"/>
                <w:szCs w:val="18"/>
              </w:rPr>
              <w:t xml:space="preserve">A site-specific inclusion relevant to the context of the site will be negotiated when: </w:t>
            </w:r>
          </w:p>
          <w:p w14:paraId="06D18591" w14:textId="77777777" w:rsidR="00B764FC" w:rsidRPr="00017FA2" w:rsidRDefault="00FF5CA4" w:rsidP="0054190D">
            <w:pPr>
              <w:pStyle w:val="ListParagraph"/>
              <w:numPr>
                <w:ilvl w:val="0"/>
                <w:numId w:val="65"/>
              </w:numPr>
              <w:rPr>
                <w:rFonts w:asciiTheme="minorHAnsi" w:hAnsiTheme="minorHAnsi" w:cstheme="minorHAnsi"/>
                <w:sz w:val="18"/>
                <w:szCs w:val="18"/>
              </w:rPr>
            </w:pPr>
            <w:r w:rsidRPr="00017FA2">
              <w:rPr>
                <w:rFonts w:asciiTheme="minorHAnsi" w:hAnsiTheme="minorHAnsi" w:cstheme="minorHAnsi"/>
                <w:sz w:val="18"/>
                <w:szCs w:val="18"/>
              </w:rPr>
              <w:t>A rezoning for a residential use is sought</w:t>
            </w:r>
          </w:p>
          <w:p w14:paraId="2EFDB7A9" w14:textId="77777777" w:rsidR="00B764FC" w:rsidRPr="00017FA2" w:rsidRDefault="00FF5CA4" w:rsidP="0054190D">
            <w:pPr>
              <w:pStyle w:val="ListParagraph"/>
              <w:numPr>
                <w:ilvl w:val="0"/>
                <w:numId w:val="65"/>
              </w:numPr>
              <w:rPr>
                <w:rFonts w:asciiTheme="minorHAnsi" w:hAnsiTheme="minorHAnsi" w:cstheme="minorHAnsi"/>
                <w:sz w:val="18"/>
                <w:szCs w:val="18"/>
              </w:rPr>
            </w:pPr>
            <w:r w:rsidRPr="00017FA2">
              <w:rPr>
                <w:rFonts w:asciiTheme="minorHAnsi" w:hAnsiTheme="minorHAnsi" w:cstheme="minorHAnsi"/>
                <w:sz w:val="18"/>
                <w:szCs w:val="18"/>
              </w:rPr>
              <w:t>A residential precinct structure plan is prepared</w:t>
            </w:r>
          </w:p>
          <w:p w14:paraId="567B99C5" w14:textId="77777777" w:rsidR="00B764FC" w:rsidRPr="00017FA2" w:rsidRDefault="00FF5CA4" w:rsidP="0054190D">
            <w:pPr>
              <w:pStyle w:val="ListParagraph"/>
              <w:numPr>
                <w:ilvl w:val="0"/>
                <w:numId w:val="65"/>
              </w:numPr>
              <w:rPr>
                <w:rFonts w:asciiTheme="minorHAnsi" w:hAnsiTheme="minorHAnsi" w:cstheme="minorHAnsi"/>
                <w:sz w:val="18"/>
                <w:szCs w:val="18"/>
              </w:rPr>
            </w:pPr>
            <w:r w:rsidRPr="00017FA2">
              <w:rPr>
                <w:rFonts w:asciiTheme="minorHAnsi" w:hAnsiTheme="minorHAnsi" w:cstheme="minorHAnsi"/>
                <w:sz w:val="18"/>
                <w:szCs w:val="18"/>
              </w:rPr>
              <w:t>A development concession or incentive is provided as part of a development application</w:t>
            </w:r>
            <w:r w:rsidRPr="00017FA2">
              <w:rPr>
                <w:rStyle w:val="FootnoteReference"/>
                <w:rFonts w:asciiTheme="minorHAnsi" w:hAnsiTheme="minorHAnsi" w:cstheme="minorHAnsi"/>
                <w:sz w:val="18"/>
                <w:szCs w:val="18"/>
              </w:rPr>
              <w:footnoteReference w:id="3"/>
            </w:r>
            <w:r w:rsidRPr="00017FA2">
              <w:rPr>
                <w:rFonts w:asciiTheme="minorHAnsi" w:hAnsiTheme="minorHAnsi" w:cstheme="minorHAnsi"/>
                <w:sz w:val="18"/>
                <w:szCs w:val="18"/>
              </w:rPr>
              <w:t xml:space="preserve">. </w:t>
            </w:r>
          </w:p>
          <w:p w14:paraId="5EC7106D" w14:textId="77777777" w:rsidR="00B764FC" w:rsidRPr="00017FA2" w:rsidRDefault="00B764FC">
            <w:pPr>
              <w:rPr>
                <w:rFonts w:asciiTheme="minorHAnsi" w:hAnsiTheme="minorHAnsi" w:cstheme="minorHAnsi"/>
                <w:sz w:val="18"/>
                <w:szCs w:val="18"/>
              </w:rPr>
            </w:pPr>
          </w:p>
          <w:p w14:paraId="15CE1B17" w14:textId="77777777" w:rsidR="00B764FC" w:rsidRPr="00017FA2" w:rsidRDefault="00FF5CA4">
            <w:pPr>
              <w:jc w:val="both"/>
              <w:rPr>
                <w:rFonts w:asciiTheme="minorHAnsi" w:hAnsiTheme="minorHAnsi" w:cstheme="minorHAnsi"/>
                <w:sz w:val="18"/>
                <w:szCs w:val="18"/>
              </w:rPr>
            </w:pPr>
            <w:r w:rsidRPr="00017FA2">
              <w:rPr>
                <w:rFonts w:asciiTheme="minorHAnsi" w:hAnsiTheme="minorHAnsi" w:cstheme="minorHAnsi"/>
                <w:sz w:val="18"/>
                <w:szCs w:val="18"/>
              </w:rPr>
              <w:t xml:space="preserve">Delivery models will include the gifting, discounted sale or leasing of land or dwellings to a Registered Housing Agency appropriate to the needs of the RHA and the location. </w:t>
            </w:r>
          </w:p>
          <w:p w14:paraId="1EF1EDA4" w14:textId="77777777" w:rsidR="00B764FC" w:rsidRPr="00017FA2" w:rsidRDefault="00B764FC">
            <w:pPr>
              <w:spacing w:after="120"/>
              <w:jc w:val="both"/>
              <w:outlineLvl w:val="2"/>
              <w:rPr>
                <w:rFonts w:asciiTheme="minorHAnsi" w:hAnsiTheme="minorHAnsi" w:cstheme="minorHAnsi"/>
                <w:sz w:val="18"/>
                <w:szCs w:val="18"/>
              </w:rPr>
            </w:pPr>
          </w:p>
          <w:p w14:paraId="42366D77" w14:textId="77777777" w:rsidR="00B764FC" w:rsidRDefault="00FF5CA4">
            <w:pPr>
              <w:jc w:val="both"/>
              <w:rPr>
                <w:rFonts w:asciiTheme="minorHAnsi" w:hAnsiTheme="minorHAnsi" w:cstheme="minorHAnsi"/>
                <w:sz w:val="18"/>
                <w:szCs w:val="18"/>
              </w:rPr>
            </w:pPr>
            <w:r w:rsidRPr="00017FA2">
              <w:rPr>
                <w:rFonts w:asciiTheme="minorHAnsi" w:hAnsiTheme="minorHAnsi" w:cstheme="minorHAnsi"/>
                <w:sz w:val="18"/>
                <w:szCs w:val="18"/>
              </w:rPr>
              <w:t xml:space="preserve">Alternative arrangements such as the sale of dwellings to households under an affordable home purchase arrangement such as a shared equity program will also be considered. </w:t>
            </w:r>
          </w:p>
          <w:p w14:paraId="7F373250" w14:textId="77777777" w:rsidR="00442909" w:rsidRDefault="00442909">
            <w:pPr>
              <w:jc w:val="both"/>
              <w:rPr>
                <w:rFonts w:asciiTheme="minorHAnsi" w:hAnsiTheme="minorHAnsi" w:cstheme="minorHAnsi"/>
                <w:sz w:val="18"/>
                <w:szCs w:val="18"/>
              </w:rPr>
            </w:pPr>
          </w:p>
          <w:p w14:paraId="031E584C" w14:textId="77777777" w:rsidR="00B764FC" w:rsidRPr="00017FA2" w:rsidRDefault="00FF5CA4">
            <w:pPr>
              <w:jc w:val="both"/>
              <w:rPr>
                <w:rFonts w:asciiTheme="minorHAnsi" w:hAnsiTheme="minorHAnsi" w:cstheme="minorHAnsi"/>
                <w:sz w:val="18"/>
                <w:szCs w:val="18"/>
              </w:rPr>
            </w:pPr>
            <w:r w:rsidRPr="00017FA2">
              <w:rPr>
                <w:rFonts w:asciiTheme="minorHAnsi" w:hAnsiTheme="minorHAnsi" w:cstheme="minorHAnsi"/>
                <w:sz w:val="18"/>
                <w:szCs w:val="18"/>
              </w:rPr>
              <w:t xml:space="preserve">A Social and Affordable Housing Assessment should be prepared as part of the relevant planning assessment process. </w:t>
            </w:r>
          </w:p>
          <w:p w14:paraId="3E2E202B" w14:textId="647699E4" w:rsidR="00B764FC" w:rsidRDefault="00B764FC">
            <w:pPr>
              <w:spacing w:after="120"/>
              <w:jc w:val="both"/>
              <w:outlineLvl w:val="2"/>
              <w:rPr>
                <w:rFonts w:asciiTheme="minorHAnsi" w:hAnsiTheme="minorHAnsi" w:cstheme="minorHAnsi"/>
                <w:sz w:val="18"/>
                <w:szCs w:val="18"/>
              </w:rPr>
            </w:pPr>
          </w:p>
          <w:p w14:paraId="0A94F32F" w14:textId="77777777" w:rsidR="00B764FC" w:rsidRPr="00017FA2" w:rsidRDefault="00B764FC">
            <w:pPr>
              <w:spacing w:after="120"/>
              <w:jc w:val="both"/>
              <w:outlineLvl w:val="2"/>
              <w:rPr>
                <w:rFonts w:asciiTheme="minorHAnsi" w:hAnsiTheme="minorHAnsi" w:cstheme="minorHAnsi"/>
                <w:sz w:val="18"/>
                <w:szCs w:val="18"/>
              </w:rPr>
            </w:pPr>
          </w:p>
        </w:tc>
        <w:tc>
          <w:tcPr>
            <w:tcW w:w="1233" w:type="dxa"/>
            <w:tcBorders>
              <w:left w:val="nil"/>
              <w:right w:val="nil"/>
            </w:tcBorders>
            <w:shd w:val="clear" w:color="auto" w:fill="F2F2F2" w:themeFill="background1" w:themeFillShade="F2"/>
            <w:vAlign w:val="center"/>
          </w:tcPr>
          <w:p w14:paraId="0F42093A"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lastRenderedPageBreak/>
              <w:t>Short term</w:t>
            </w:r>
          </w:p>
        </w:tc>
        <w:tc>
          <w:tcPr>
            <w:tcW w:w="1278" w:type="dxa"/>
            <w:tcBorders>
              <w:left w:val="nil"/>
              <w:right w:val="nil"/>
            </w:tcBorders>
            <w:shd w:val="clear" w:color="auto" w:fill="F2F2F2" w:themeFill="background1" w:themeFillShade="F2"/>
            <w:vAlign w:val="center"/>
          </w:tcPr>
          <w:p w14:paraId="73689D8E"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Within existing resources</w:t>
            </w:r>
          </w:p>
        </w:tc>
        <w:tc>
          <w:tcPr>
            <w:tcW w:w="1777" w:type="dxa"/>
            <w:tcBorders>
              <w:left w:val="nil"/>
              <w:right w:val="nil"/>
            </w:tcBorders>
            <w:shd w:val="clear" w:color="auto" w:fill="F2F2F2" w:themeFill="background1" w:themeFillShade="F2"/>
            <w:vAlign w:val="center"/>
          </w:tcPr>
          <w:p w14:paraId="0F71463A"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An amended Planning Scheme which enables the planning process to negotiate development contributions to the provision of social housing supply in accordance with recent amendments to the Planning &amp; Environment Act</w:t>
            </w:r>
          </w:p>
        </w:tc>
      </w:tr>
      <w:tr w:rsidR="00B764FC" w:rsidRPr="00017FA2" w14:paraId="7E6BC63A" w14:textId="77777777" w:rsidTr="001A22EA">
        <w:tc>
          <w:tcPr>
            <w:tcW w:w="1849" w:type="dxa"/>
            <w:gridSpan w:val="2"/>
            <w:tcBorders>
              <w:left w:val="nil"/>
              <w:right w:val="nil"/>
            </w:tcBorders>
            <w:shd w:val="clear" w:color="auto" w:fill="FFFFFF"/>
            <w:vAlign w:val="center"/>
          </w:tcPr>
          <w:p w14:paraId="1A658AA3" w14:textId="77777777" w:rsidR="00B764FC" w:rsidRPr="00017FA2" w:rsidRDefault="00FF5CA4" w:rsidP="00077040">
            <w:pPr>
              <w:pStyle w:val="ListParagraph"/>
              <w:numPr>
                <w:ilvl w:val="0"/>
                <w:numId w:val="26"/>
              </w:numPr>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 xml:space="preserve">Negotiate Section 173 Agreements with applicants </w:t>
            </w:r>
          </w:p>
        </w:tc>
        <w:tc>
          <w:tcPr>
            <w:tcW w:w="3077" w:type="dxa"/>
            <w:tcBorders>
              <w:left w:val="nil"/>
              <w:right w:val="nil"/>
            </w:tcBorders>
            <w:shd w:val="clear" w:color="auto" w:fill="FFFFFF"/>
          </w:tcPr>
          <w:p w14:paraId="448446BD" w14:textId="77777777" w:rsidR="00B764FC" w:rsidRPr="00017FA2" w:rsidRDefault="00FF5CA4">
            <w:pPr>
              <w:spacing w:after="240"/>
              <w:rPr>
                <w:rFonts w:asciiTheme="minorHAnsi" w:hAnsiTheme="minorHAnsi" w:cstheme="minorHAnsi"/>
                <w:sz w:val="18"/>
                <w:szCs w:val="18"/>
              </w:rPr>
            </w:pPr>
            <w:r w:rsidRPr="00017FA2">
              <w:rPr>
                <w:rFonts w:asciiTheme="minorHAnsi" w:hAnsiTheme="minorHAnsi" w:cstheme="minorHAnsi"/>
                <w:sz w:val="18"/>
                <w:szCs w:val="18"/>
              </w:rPr>
              <w:t>Voluntary agreements will set out:</w:t>
            </w:r>
          </w:p>
          <w:p w14:paraId="219A8AFE" w14:textId="77777777" w:rsidR="00B764FC" w:rsidRPr="00017FA2" w:rsidRDefault="00FF5CA4" w:rsidP="0054190D">
            <w:pPr>
              <w:pStyle w:val="ListParagraph"/>
              <w:numPr>
                <w:ilvl w:val="0"/>
                <w:numId w:val="64"/>
              </w:numPr>
              <w:ind w:left="318" w:hanging="283"/>
              <w:rPr>
                <w:rFonts w:asciiTheme="minorHAnsi" w:hAnsiTheme="minorHAnsi" w:cstheme="minorHAnsi"/>
                <w:sz w:val="18"/>
                <w:szCs w:val="18"/>
              </w:rPr>
            </w:pPr>
            <w:r w:rsidRPr="00017FA2">
              <w:rPr>
                <w:rFonts w:asciiTheme="minorHAnsi" w:hAnsiTheme="minorHAnsi" w:cstheme="minorHAnsi"/>
                <w:sz w:val="18"/>
                <w:szCs w:val="18"/>
              </w:rPr>
              <w:t xml:space="preserve">the percentage of total dwellings on site to be contributed to social housing; </w:t>
            </w:r>
          </w:p>
          <w:p w14:paraId="40D2ECF1" w14:textId="77777777" w:rsidR="00B764FC" w:rsidRPr="00017FA2" w:rsidRDefault="00FF5CA4" w:rsidP="0054190D">
            <w:pPr>
              <w:pStyle w:val="ListParagraph"/>
              <w:numPr>
                <w:ilvl w:val="0"/>
                <w:numId w:val="64"/>
              </w:numPr>
              <w:ind w:left="318" w:hanging="283"/>
              <w:rPr>
                <w:rFonts w:asciiTheme="minorHAnsi" w:hAnsiTheme="minorHAnsi" w:cstheme="minorHAnsi"/>
                <w:sz w:val="18"/>
                <w:szCs w:val="18"/>
              </w:rPr>
            </w:pPr>
            <w:r w:rsidRPr="00017FA2">
              <w:rPr>
                <w:rFonts w:asciiTheme="minorHAnsi" w:hAnsiTheme="minorHAnsi" w:cstheme="minorHAnsi"/>
                <w:sz w:val="18"/>
                <w:szCs w:val="18"/>
              </w:rPr>
              <w:t>the type of social housing dwellings to be provided</w:t>
            </w:r>
          </w:p>
          <w:p w14:paraId="76D8BC01" w14:textId="77777777" w:rsidR="00B764FC" w:rsidRPr="00017FA2" w:rsidRDefault="00FF5CA4" w:rsidP="0054190D">
            <w:pPr>
              <w:pStyle w:val="ListParagraph"/>
              <w:numPr>
                <w:ilvl w:val="0"/>
                <w:numId w:val="64"/>
              </w:numPr>
              <w:ind w:left="318" w:hanging="283"/>
              <w:rPr>
                <w:rFonts w:asciiTheme="minorHAnsi" w:hAnsiTheme="minorHAnsi" w:cstheme="minorHAnsi"/>
                <w:sz w:val="18"/>
                <w:szCs w:val="18"/>
              </w:rPr>
            </w:pPr>
            <w:r w:rsidRPr="00017FA2">
              <w:rPr>
                <w:rFonts w:asciiTheme="minorHAnsi" w:hAnsiTheme="minorHAnsi" w:cstheme="minorHAnsi"/>
                <w:sz w:val="18"/>
                <w:szCs w:val="18"/>
              </w:rPr>
              <w:t>the location of the social housing dwellings to be provided</w:t>
            </w:r>
          </w:p>
          <w:p w14:paraId="73B16620" w14:textId="77777777" w:rsidR="00B764FC" w:rsidRPr="00017FA2" w:rsidRDefault="00FF5CA4" w:rsidP="0054190D">
            <w:pPr>
              <w:pStyle w:val="ListParagraph"/>
              <w:numPr>
                <w:ilvl w:val="0"/>
                <w:numId w:val="64"/>
              </w:numPr>
              <w:ind w:left="318" w:hanging="283"/>
              <w:rPr>
                <w:rFonts w:asciiTheme="minorHAnsi" w:hAnsiTheme="minorHAnsi" w:cstheme="minorHAnsi"/>
                <w:sz w:val="18"/>
                <w:szCs w:val="18"/>
              </w:rPr>
            </w:pPr>
            <w:r w:rsidRPr="00017FA2">
              <w:rPr>
                <w:rFonts w:asciiTheme="minorHAnsi" w:hAnsiTheme="minorHAnsi" w:cstheme="minorHAnsi"/>
                <w:sz w:val="18"/>
                <w:szCs w:val="18"/>
              </w:rPr>
              <w:t xml:space="preserve">the owner and manager of the social housing dwellings to be provided, and </w:t>
            </w:r>
          </w:p>
          <w:p w14:paraId="77A7CBE3" w14:textId="77777777" w:rsidR="00B764FC" w:rsidRPr="00017FA2" w:rsidRDefault="00FF5CA4" w:rsidP="0054190D">
            <w:pPr>
              <w:pStyle w:val="ListParagraph"/>
              <w:numPr>
                <w:ilvl w:val="0"/>
                <w:numId w:val="64"/>
              </w:numPr>
              <w:ind w:left="318" w:hanging="283"/>
              <w:rPr>
                <w:rFonts w:asciiTheme="minorHAnsi" w:hAnsiTheme="minorHAnsi" w:cstheme="minorHAnsi"/>
                <w:sz w:val="18"/>
                <w:szCs w:val="18"/>
              </w:rPr>
            </w:pPr>
            <w:r w:rsidRPr="00017FA2">
              <w:rPr>
                <w:rFonts w:asciiTheme="minorHAnsi" w:hAnsiTheme="minorHAnsi" w:cstheme="minorHAnsi"/>
                <w:sz w:val="18"/>
                <w:szCs w:val="18"/>
              </w:rPr>
              <w:t>the cost of the dwellings (or land) to be provided for social housing.</w:t>
            </w:r>
          </w:p>
          <w:p w14:paraId="7B45C3D0" w14:textId="77777777" w:rsidR="00B764FC" w:rsidRPr="00017FA2" w:rsidRDefault="00B764FC">
            <w:pPr>
              <w:rPr>
                <w:rFonts w:asciiTheme="minorHAnsi" w:hAnsiTheme="minorHAnsi" w:cstheme="minorHAnsi"/>
                <w:sz w:val="18"/>
                <w:szCs w:val="18"/>
              </w:rPr>
            </w:pPr>
          </w:p>
          <w:p w14:paraId="3E76089C" w14:textId="77777777" w:rsidR="00B764FC" w:rsidRPr="00017FA2" w:rsidRDefault="00FF5CA4">
            <w:pPr>
              <w:jc w:val="both"/>
              <w:rPr>
                <w:rFonts w:asciiTheme="minorHAnsi" w:hAnsiTheme="minorHAnsi" w:cstheme="minorHAnsi"/>
                <w:sz w:val="18"/>
                <w:szCs w:val="18"/>
              </w:rPr>
            </w:pPr>
            <w:r w:rsidRPr="00017FA2">
              <w:rPr>
                <w:rFonts w:asciiTheme="minorHAnsi" w:hAnsiTheme="minorHAnsi" w:cstheme="minorHAnsi"/>
                <w:sz w:val="18"/>
                <w:szCs w:val="18"/>
              </w:rPr>
              <w:t xml:space="preserve">Prepare guidance materials to assist negotiations including criteria for eligible developments </w:t>
            </w:r>
          </w:p>
        </w:tc>
        <w:tc>
          <w:tcPr>
            <w:tcW w:w="1233" w:type="dxa"/>
            <w:tcBorders>
              <w:left w:val="nil"/>
              <w:right w:val="nil"/>
            </w:tcBorders>
            <w:shd w:val="clear" w:color="auto" w:fill="FFFFFF"/>
          </w:tcPr>
          <w:p w14:paraId="513520DD"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Ongoing</w:t>
            </w:r>
          </w:p>
        </w:tc>
        <w:tc>
          <w:tcPr>
            <w:tcW w:w="1278" w:type="dxa"/>
            <w:tcBorders>
              <w:left w:val="nil"/>
              <w:right w:val="nil"/>
            </w:tcBorders>
            <w:shd w:val="clear" w:color="auto" w:fill="FFFFFF"/>
          </w:tcPr>
          <w:p w14:paraId="7E3A901A"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Housing planner in the Planning and Growth team to negotiate agreements</w:t>
            </w:r>
          </w:p>
          <w:p w14:paraId="27B74323" w14:textId="77777777" w:rsidR="00B764FC" w:rsidRPr="00017FA2" w:rsidRDefault="00B764FC">
            <w:pPr>
              <w:rPr>
                <w:rFonts w:asciiTheme="minorHAnsi" w:hAnsiTheme="minorHAnsi" w:cstheme="minorHAnsi"/>
                <w:sz w:val="18"/>
                <w:szCs w:val="18"/>
              </w:rPr>
            </w:pPr>
          </w:p>
          <w:p w14:paraId="3C975BC6"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 xml:space="preserve">$130,000 per annum subject to a successful Business Case </w:t>
            </w:r>
          </w:p>
        </w:tc>
        <w:tc>
          <w:tcPr>
            <w:tcW w:w="1777" w:type="dxa"/>
            <w:tcBorders>
              <w:left w:val="nil"/>
              <w:right w:val="nil"/>
            </w:tcBorders>
            <w:shd w:val="clear" w:color="auto" w:fill="FFFFFF"/>
          </w:tcPr>
          <w:p w14:paraId="15A88E67"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New social housing included in all eligible - developments or a contribution procured for investment in new social housing</w:t>
            </w:r>
          </w:p>
        </w:tc>
      </w:tr>
      <w:tr w:rsidR="00B764FC" w:rsidRPr="00017FA2" w14:paraId="678045EC" w14:textId="77777777" w:rsidTr="001A22EA">
        <w:tc>
          <w:tcPr>
            <w:tcW w:w="1849" w:type="dxa"/>
            <w:gridSpan w:val="2"/>
            <w:tcBorders>
              <w:left w:val="nil"/>
              <w:right w:val="nil"/>
            </w:tcBorders>
            <w:shd w:val="clear" w:color="auto" w:fill="F2F2F2" w:themeFill="background1" w:themeFillShade="F2"/>
            <w:vAlign w:val="center"/>
          </w:tcPr>
          <w:p w14:paraId="07A0A3D9" w14:textId="77777777" w:rsidR="00B764FC" w:rsidRPr="00017FA2" w:rsidRDefault="00FF5CA4" w:rsidP="00077040">
            <w:pPr>
              <w:pStyle w:val="ListParagraph"/>
              <w:numPr>
                <w:ilvl w:val="0"/>
                <w:numId w:val="26"/>
              </w:numPr>
              <w:ind w:left="318" w:hanging="284"/>
              <w:rPr>
                <w:rFonts w:asciiTheme="minorHAnsi" w:hAnsiTheme="minorHAnsi" w:cstheme="minorHAnsi"/>
                <w:b/>
                <w:bCs/>
                <w:sz w:val="18"/>
                <w:szCs w:val="18"/>
              </w:rPr>
            </w:pPr>
            <w:r w:rsidRPr="00017FA2">
              <w:rPr>
                <w:rFonts w:asciiTheme="minorHAnsi" w:hAnsiTheme="minorHAnsi" w:cstheme="minorHAnsi"/>
                <w:b/>
                <w:bCs/>
                <w:sz w:val="18"/>
                <w:szCs w:val="18"/>
              </w:rPr>
              <w:t>Identify principles to guide negotiations with developers on appropriate social and affordable housing outcomes</w:t>
            </w:r>
          </w:p>
        </w:tc>
        <w:tc>
          <w:tcPr>
            <w:tcW w:w="3077" w:type="dxa"/>
            <w:tcBorders>
              <w:left w:val="nil"/>
              <w:right w:val="nil"/>
            </w:tcBorders>
            <w:shd w:val="clear" w:color="auto" w:fill="F2F2F2" w:themeFill="background1" w:themeFillShade="F2"/>
          </w:tcPr>
          <w:p w14:paraId="38BA6A37" w14:textId="77777777" w:rsidR="00B764FC" w:rsidRPr="00017FA2" w:rsidRDefault="00FF5CA4" w:rsidP="00442909">
            <w:pPr>
              <w:spacing w:before="240" w:after="240"/>
              <w:rPr>
                <w:rFonts w:asciiTheme="minorHAnsi" w:hAnsiTheme="minorHAnsi" w:cstheme="minorHAnsi"/>
                <w:sz w:val="18"/>
                <w:szCs w:val="18"/>
              </w:rPr>
            </w:pPr>
            <w:r w:rsidRPr="00017FA2">
              <w:rPr>
                <w:rFonts w:asciiTheme="minorHAnsi" w:hAnsiTheme="minorHAnsi" w:cstheme="minorHAnsi"/>
                <w:sz w:val="18"/>
                <w:szCs w:val="18"/>
              </w:rPr>
              <w:t>Principles for negotiation will include:</w:t>
            </w:r>
          </w:p>
          <w:p w14:paraId="6289842A" w14:textId="77777777" w:rsidR="00B764FC" w:rsidRPr="00017FA2" w:rsidRDefault="00FF5CA4" w:rsidP="00442909">
            <w:pPr>
              <w:pStyle w:val="ListParagraph"/>
              <w:numPr>
                <w:ilvl w:val="0"/>
                <w:numId w:val="15"/>
              </w:numPr>
              <w:ind w:left="311" w:hanging="142"/>
              <w:rPr>
                <w:rFonts w:asciiTheme="minorHAnsi" w:hAnsiTheme="minorHAnsi" w:cstheme="minorHAnsi"/>
                <w:sz w:val="18"/>
                <w:szCs w:val="18"/>
              </w:rPr>
            </w:pPr>
            <w:r w:rsidRPr="00017FA2">
              <w:rPr>
                <w:rFonts w:asciiTheme="minorHAnsi" w:hAnsiTheme="minorHAnsi" w:cstheme="minorHAnsi"/>
                <w:b/>
                <w:bCs/>
                <w:sz w:val="18"/>
                <w:szCs w:val="18"/>
              </w:rPr>
              <w:t>Commercial</w:t>
            </w:r>
            <w:r w:rsidRPr="00017FA2">
              <w:rPr>
                <w:rFonts w:asciiTheme="minorHAnsi" w:hAnsiTheme="minorHAnsi" w:cstheme="minorHAnsi"/>
                <w:sz w:val="18"/>
                <w:szCs w:val="18"/>
              </w:rPr>
              <w:t>: the cost to the developer should not exceed the value uplift in the land value generated by the development approval.</w:t>
            </w:r>
          </w:p>
          <w:p w14:paraId="50A02456" w14:textId="1597F474" w:rsidR="00B764FC" w:rsidRPr="00017FA2" w:rsidRDefault="00FF5CA4" w:rsidP="00442909">
            <w:pPr>
              <w:pStyle w:val="ListParagraph"/>
              <w:numPr>
                <w:ilvl w:val="0"/>
                <w:numId w:val="15"/>
              </w:numPr>
              <w:ind w:left="311" w:hanging="142"/>
              <w:rPr>
                <w:rFonts w:asciiTheme="minorHAnsi" w:hAnsiTheme="minorHAnsi" w:cstheme="minorHAnsi"/>
                <w:sz w:val="18"/>
                <w:szCs w:val="18"/>
              </w:rPr>
            </w:pPr>
            <w:r w:rsidRPr="00017FA2">
              <w:rPr>
                <w:rFonts w:asciiTheme="minorHAnsi" w:hAnsiTheme="minorHAnsi" w:cstheme="minorHAnsi"/>
                <w:b/>
                <w:bCs/>
                <w:sz w:val="18"/>
                <w:szCs w:val="18"/>
              </w:rPr>
              <w:t>Integration</w:t>
            </w:r>
            <w:r w:rsidRPr="00017FA2">
              <w:rPr>
                <w:rFonts w:asciiTheme="minorHAnsi" w:hAnsiTheme="minorHAnsi" w:cstheme="minorHAnsi"/>
                <w:sz w:val="18"/>
                <w:szCs w:val="18"/>
              </w:rPr>
              <w:t>: the scale, design and finish of the social housing should be compatible with the surrounding streetscape and not distinguishable from other dwellings. The social housing dwellings will have access to the same communal facilities and services as the other dwellings.</w:t>
            </w:r>
          </w:p>
          <w:p w14:paraId="2A9ED25B" w14:textId="77777777" w:rsidR="00B764FC" w:rsidRPr="00017FA2" w:rsidRDefault="00FF5CA4" w:rsidP="00442909">
            <w:pPr>
              <w:pStyle w:val="ListParagraph"/>
              <w:numPr>
                <w:ilvl w:val="0"/>
                <w:numId w:val="15"/>
              </w:numPr>
              <w:ind w:left="311" w:hanging="142"/>
              <w:rPr>
                <w:rFonts w:asciiTheme="minorHAnsi" w:hAnsiTheme="minorHAnsi" w:cstheme="minorHAnsi"/>
                <w:sz w:val="18"/>
                <w:szCs w:val="18"/>
              </w:rPr>
            </w:pPr>
            <w:r w:rsidRPr="00017FA2">
              <w:rPr>
                <w:rFonts w:asciiTheme="minorHAnsi" w:hAnsiTheme="minorHAnsi" w:cstheme="minorHAnsi"/>
                <w:b/>
                <w:bCs/>
                <w:sz w:val="18"/>
                <w:szCs w:val="18"/>
              </w:rPr>
              <w:t>Progressive</w:t>
            </w:r>
            <w:r w:rsidRPr="00017FA2">
              <w:rPr>
                <w:rFonts w:asciiTheme="minorHAnsi" w:hAnsiTheme="minorHAnsi" w:cstheme="minorHAnsi"/>
                <w:sz w:val="18"/>
                <w:szCs w:val="18"/>
              </w:rPr>
              <w:t>: the social housing should be delivered progressively in accordance with an agreed program.</w:t>
            </w:r>
          </w:p>
          <w:p w14:paraId="29F8C21B" w14:textId="77777777" w:rsidR="00B764FC" w:rsidRPr="00017FA2" w:rsidRDefault="00FF5CA4" w:rsidP="00442909">
            <w:pPr>
              <w:pStyle w:val="ListParagraph"/>
              <w:numPr>
                <w:ilvl w:val="0"/>
                <w:numId w:val="15"/>
              </w:numPr>
              <w:ind w:left="311" w:hanging="142"/>
              <w:rPr>
                <w:rFonts w:asciiTheme="minorHAnsi" w:hAnsiTheme="minorHAnsi" w:cstheme="minorHAnsi"/>
                <w:sz w:val="18"/>
                <w:szCs w:val="18"/>
              </w:rPr>
            </w:pPr>
            <w:r w:rsidRPr="00017FA2">
              <w:rPr>
                <w:rFonts w:asciiTheme="minorHAnsi" w:hAnsiTheme="minorHAnsi" w:cstheme="minorHAnsi"/>
                <w:b/>
                <w:bCs/>
                <w:sz w:val="18"/>
                <w:szCs w:val="18"/>
              </w:rPr>
              <w:t>Certainty</w:t>
            </w:r>
            <w:r w:rsidRPr="00017FA2">
              <w:rPr>
                <w:rFonts w:asciiTheme="minorHAnsi" w:hAnsiTheme="minorHAnsi" w:cstheme="minorHAnsi"/>
                <w:sz w:val="18"/>
                <w:szCs w:val="18"/>
              </w:rPr>
              <w:t>: the party identified as the owner and manager of the social housing must have the financial capacity to complete the acquisition and the operational capacity to manage the dwellings in accordance with recognised good practice.</w:t>
            </w:r>
          </w:p>
          <w:p w14:paraId="473B3F81" w14:textId="77777777" w:rsidR="00B764FC" w:rsidRPr="00017FA2" w:rsidRDefault="00FF5CA4" w:rsidP="00442909">
            <w:pPr>
              <w:pStyle w:val="ListParagraph"/>
              <w:numPr>
                <w:ilvl w:val="0"/>
                <w:numId w:val="15"/>
              </w:numPr>
              <w:ind w:left="311" w:hanging="142"/>
              <w:rPr>
                <w:rFonts w:asciiTheme="minorHAnsi" w:hAnsiTheme="minorHAnsi" w:cstheme="minorHAnsi"/>
                <w:sz w:val="18"/>
                <w:szCs w:val="18"/>
              </w:rPr>
            </w:pPr>
            <w:r w:rsidRPr="00017FA2">
              <w:rPr>
                <w:rFonts w:asciiTheme="minorHAnsi" w:hAnsiTheme="minorHAnsi" w:cstheme="minorHAnsi"/>
                <w:b/>
                <w:bCs/>
                <w:sz w:val="18"/>
                <w:szCs w:val="18"/>
              </w:rPr>
              <w:t>Sustainable</w:t>
            </w:r>
            <w:r w:rsidRPr="00017FA2">
              <w:rPr>
                <w:rFonts w:asciiTheme="minorHAnsi" w:hAnsiTheme="minorHAnsi" w:cstheme="minorHAnsi"/>
                <w:sz w:val="18"/>
                <w:szCs w:val="18"/>
              </w:rPr>
              <w:t xml:space="preserve">: the social housing dwellings provided should be consistent with an </w:t>
            </w:r>
            <w:r w:rsidRPr="00017FA2">
              <w:rPr>
                <w:rFonts w:asciiTheme="minorHAnsi" w:hAnsiTheme="minorHAnsi" w:cstheme="minorHAnsi"/>
                <w:sz w:val="18"/>
                <w:szCs w:val="18"/>
              </w:rPr>
              <w:lastRenderedPageBreak/>
              <w:t>evidenced based model of good practice that demonstrates social, economic and environmental sustainability.</w:t>
            </w:r>
          </w:p>
        </w:tc>
        <w:tc>
          <w:tcPr>
            <w:tcW w:w="1233" w:type="dxa"/>
            <w:tcBorders>
              <w:left w:val="nil"/>
              <w:right w:val="nil"/>
            </w:tcBorders>
            <w:shd w:val="clear" w:color="auto" w:fill="F2F2F2" w:themeFill="background1" w:themeFillShade="F2"/>
            <w:vAlign w:val="center"/>
          </w:tcPr>
          <w:p w14:paraId="47000C75"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lastRenderedPageBreak/>
              <w:t>Short term</w:t>
            </w:r>
          </w:p>
        </w:tc>
        <w:tc>
          <w:tcPr>
            <w:tcW w:w="1278" w:type="dxa"/>
            <w:tcBorders>
              <w:left w:val="nil"/>
              <w:right w:val="nil"/>
            </w:tcBorders>
            <w:shd w:val="clear" w:color="auto" w:fill="F2F2F2" w:themeFill="background1" w:themeFillShade="F2"/>
            <w:vAlign w:val="center"/>
          </w:tcPr>
          <w:p w14:paraId="67EAC11D" w14:textId="585A262B" w:rsidR="00B764FC" w:rsidRPr="00017FA2" w:rsidRDefault="00BB277C">
            <w:pPr>
              <w:rPr>
                <w:rFonts w:asciiTheme="minorHAnsi" w:hAnsiTheme="minorHAnsi" w:cstheme="minorHAnsi"/>
                <w:sz w:val="18"/>
                <w:szCs w:val="18"/>
              </w:rPr>
            </w:pPr>
            <w:r>
              <w:rPr>
                <w:rFonts w:asciiTheme="minorHAnsi" w:hAnsiTheme="minorHAnsi" w:cstheme="minorHAnsi"/>
                <w:sz w:val="18"/>
                <w:szCs w:val="18"/>
              </w:rPr>
              <w:t>Cost included in 2</w:t>
            </w:r>
            <w:r w:rsidR="00FF5CA4" w:rsidRPr="00017FA2">
              <w:rPr>
                <w:rFonts w:asciiTheme="minorHAnsi" w:hAnsiTheme="minorHAnsi" w:cstheme="minorHAnsi"/>
                <w:sz w:val="18"/>
                <w:szCs w:val="18"/>
              </w:rPr>
              <w:t xml:space="preserve"> above</w:t>
            </w:r>
          </w:p>
        </w:tc>
        <w:tc>
          <w:tcPr>
            <w:tcW w:w="1777" w:type="dxa"/>
            <w:tcBorders>
              <w:left w:val="nil"/>
              <w:right w:val="nil"/>
            </w:tcBorders>
            <w:shd w:val="clear" w:color="auto" w:fill="F2F2F2" w:themeFill="background1" w:themeFillShade="F2"/>
            <w:vAlign w:val="center"/>
          </w:tcPr>
          <w:p w14:paraId="33FF62DB" w14:textId="77777777" w:rsidR="00B764FC" w:rsidRPr="00017FA2" w:rsidRDefault="00FF5CA4">
            <w:pPr>
              <w:rPr>
                <w:rFonts w:asciiTheme="minorHAnsi" w:hAnsiTheme="minorHAnsi" w:cstheme="minorHAnsi"/>
                <w:sz w:val="18"/>
                <w:szCs w:val="18"/>
              </w:rPr>
            </w:pPr>
            <w:r w:rsidRPr="00017FA2">
              <w:rPr>
                <w:rFonts w:asciiTheme="minorHAnsi" w:hAnsiTheme="minorHAnsi" w:cstheme="minorHAnsi"/>
                <w:sz w:val="18"/>
                <w:szCs w:val="18"/>
              </w:rPr>
              <w:t>Provides developers with confidence that negotiations will not unrealistic and uncommercial</w:t>
            </w:r>
          </w:p>
        </w:tc>
      </w:tr>
    </w:tbl>
    <w:p w14:paraId="3F074AD2" w14:textId="77777777" w:rsidR="00B764FC" w:rsidRDefault="00B764FC">
      <w:r>
        <w:br w:type="page"/>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917"/>
        <w:gridCol w:w="32"/>
        <w:gridCol w:w="3194"/>
        <w:gridCol w:w="942"/>
        <w:gridCol w:w="1309"/>
        <w:gridCol w:w="1820"/>
      </w:tblGrid>
      <w:tr w:rsidR="00B764FC" w14:paraId="034E133D" w14:textId="77777777" w:rsidTr="001A22EA">
        <w:trPr>
          <w:tblHeader/>
        </w:trPr>
        <w:tc>
          <w:tcPr>
            <w:tcW w:w="1949" w:type="dxa"/>
            <w:gridSpan w:val="2"/>
            <w:tcBorders>
              <w:left w:val="nil"/>
              <w:right w:val="nil"/>
            </w:tcBorders>
            <w:shd w:val="clear" w:color="auto" w:fill="002060"/>
          </w:tcPr>
          <w:p w14:paraId="15CE3D33" w14:textId="77777777" w:rsidR="00B764FC" w:rsidRDefault="00B764FC">
            <w:pPr>
              <w:spacing w:line="276" w:lineRule="auto"/>
              <w:rPr>
                <w:b/>
                <w:bCs/>
                <w:color w:val="FFFFFF"/>
                <w:sz w:val="18"/>
                <w:szCs w:val="18"/>
              </w:rPr>
            </w:pPr>
            <w:r>
              <w:rPr>
                <w:b/>
                <w:bCs/>
                <w:color w:val="FFFFFF"/>
                <w:sz w:val="18"/>
                <w:szCs w:val="18"/>
              </w:rPr>
              <w:lastRenderedPageBreak/>
              <w:t>Strategy</w:t>
            </w:r>
          </w:p>
        </w:tc>
        <w:tc>
          <w:tcPr>
            <w:tcW w:w="3194" w:type="dxa"/>
            <w:tcBorders>
              <w:left w:val="nil"/>
              <w:right w:val="nil"/>
            </w:tcBorders>
            <w:shd w:val="clear" w:color="auto" w:fill="002060"/>
          </w:tcPr>
          <w:p w14:paraId="240E7804" w14:textId="77777777" w:rsidR="00B764FC" w:rsidRDefault="00B764FC">
            <w:pPr>
              <w:spacing w:before="40" w:after="40" w:line="276" w:lineRule="auto"/>
              <w:rPr>
                <w:b/>
                <w:bCs/>
                <w:color w:val="FFFFFF"/>
                <w:sz w:val="18"/>
                <w:szCs w:val="18"/>
              </w:rPr>
            </w:pPr>
            <w:r>
              <w:rPr>
                <w:b/>
                <w:bCs/>
                <w:color w:val="FFFFFF"/>
                <w:sz w:val="18"/>
                <w:szCs w:val="18"/>
              </w:rPr>
              <w:t>Actions</w:t>
            </w:r>
          </w:p>
        </w:tc>
        <w:tc>
          <w:tcPr>
            <w:tcW w:w="942" w:type="dxa"/>
            <w:tcBorders>
              <w:left w:val="nil"/>
              <w:right w:val="nil"/>
            </w:tcBorders>
            <w:shd w:val="clear" w:color="auto" w:fill="002060"/>
          </w:tcPr>
          <w:p w14:paraId="5A1EE48E" w14:textId="77777777" w:rsidR="00B764FC" w:rsidRDefault="00B764FC">
            <w:pPr>
              <w:spacing w:line="276" w:lineRule="auto"/>
              <w:rPr>
                <w:b/>
                <w:bCs/>
                <w:color w:val="FFFFFF"/>
                <w:sz w:val="18"/>
                <w:szCs w:val="18"/>
              </w:rPr>
            </w:pPr>
            <w:r>
              <w:rPr>
                <w:b/>
                <w:bCs/>
                <w:color w:val="FFFFFF"/>
                <w:sz w:val="18"/>
                <w:szCs w:val="18"/>
              </w:rPr>
              <w:t>Timelines</w:t>
            </w:r>
          </w:p>
        </w:tc>
        <w:tc>
          <w:tcPr>
            <w:tcW w:w="1309" w:type="dxa"/>
            <w:tcBorders>
              <w:left w:val="nil"/>
              <w:right w:val="nil"/>
            </w:tcBorders>
            <w:shd w:val="clear" w:color="auto" w:fill="002060"/>
          </w:tcPr>
          <w:p w14:paraId="6E32F0C7" w14:textId="77777777" w:rsidR="00B764FC" w:rsidRDefault="00B764FC">
            <w:pPr>
              <w:spacing w:line="276" w:lineRule="auto"/>
              <w:rPr>
                <w:b/>
                <w:bCs/>
                <w:color w:val="FFFFFF"/>
                <w:sz w:val="18"/>
                <w:szCs w:val="18"/>
              </w:rPr>
            </w:pPr>
            <w:r>
              <w:rPr>
                <w:b/>
                <w:bCs/>
                <w:color w:val="FFFFFF"/>
                <w:sz w:val="18"/>
                <w:szCs w:val="18"/>
              </w:rPr>
              <w:t>Resources</w:t>
            </w:r>
          </w:p>
        </w:tc>
        <w:tc>
          <w:tcPr>
            <w:tcW w:w="1820" w:type="dxa"/>
            <w:tcBorders>
              <w:left w:val="nil"/>
              <w:right w:val="nil"/>
            </w:tcBorders>
            <w:shd w:val="clear" w:color="auto" w:fill="002060"/>
          </w:tcPr>
          <w:p w14:paraId="334BF04A" w14:textId="77777777" w:rsidR="00B764FC" w:rsidRDefault="00B764FC">
            <w:pPr>
              <w:spacing w:line="276" w:lineRule="auto"/>
              <w:rPr>
                <w:b/>
                <w:bCs/>
                <w:color w:val="FFFFFF"/>
                <w:sz w:val="18"/>
                <w:szCs w:val="18"/>
              </w:rPr>
            </w:pPr>
            <w:r>
              <w:rPr>
                <w:b/>
                <w:bCs/>
                <w:color w:val="FFFFFF"/>
                <w:sz w:val="18"/>
                <w:szCs w:val="18"/>
              </w:rPr>
              <w:t>Benefits</w:t>
            </w:r>
          </w:p>
        </w:tc>
      </w:tr>
      <w:tr w:rsidR="00B764FC" w:rsidRPr="00606481" w14:paraId="5A000D8C" w14:textId="77777777">
        <w:tc>
          <w:tcPr>
            <w:tcW w:w="5143" w:type="dxa"/>
            <w:gridSpan w:val="3"/>
            <w:tcBorders>
              <w:left w:val="nil"/>
              <w:right w:val="nil"/>
            </w:tcBorders>
            <w:shd w:val="clear" w:color="auto" w:fill="C0C0C0"/>
          </w:tcPr>
          <w:p w14:paraId="6544C228" w14:textId="77777777" w:rsidR="00B764FC" w:rsidRPr="00606481" w:rsidRDefault="00B764FC" w:rsidP="0054190D">
            <w:pPr>
              <w:pStyle w:val="ListParagraph"/>
              <w:numPr>
                <w:ilvl w:val="0"/>
                <w:numId w:val="66"/>
              </w:numPr>
              <w:spacing w:line="276" w:lineRule="auto"/>
              <w:rPr>
                <w:b/>
                <w:bCs/>
                <w:sz w:val="20"/>
                <w:szCs w:val="20"/>
              </w:rPr>
            </w:pPr>
            <w:r w:rsidRPr="00606481">
              <w:rPr>
                <w:b/>
                <w:bCs/>
                <w:sz w:val="20"/>
                <w:szCs w:val="20"/>
              </w:rPr>
              <w:t>Partnership Strategies</w:t>
            </w:r>
          </w:p>
        </w:tc>
        <w:tc>
          <w:tcPr>
            <w:tcW w:w="942" w:type="dxa"/>
            <w:tcBorders>
              <w:left w:val="nil"/>
              <w:right w:val="nil"/>
            </w:tcBorders>
            <w:shd w:val="clear" w:color="auto" w:fill="C0C0C0"/>
          </w:tcPr>
          <w:p w14:paraId="19D95ED0" w14:textId="77777777" w:rsidR="00B764FC" w:rsidRPr="00606481" w:rsidRDefault="00B764FC">
            <w:pPr>
              <w:spacing w:line="276" w:lineRule="auto"/>
              <w:rPr>
                <w:b/>
                <w:bCs/>
                <w:sz w:val="20"/>
                <w:szCs w:val="20"/>
              </w:rPr>
            </w:pPr>
          </w:p>
        </w:tc>
        <w:tc>
          <w:tcPr>
            <w:tcW w:w="1309" w:type="dxa"/>
            <w:tcBorders>
              <w:left w:val="nil"/>
              <w:right w:val="nil"/>
            </w:tcBorders>
            <w:shd w:val="clear" w:color="auto" w:fill="C0C0C0"/>
          </w:tcPr>
          <w:p w14:paraId="431719B8" w14:textId="77777777" w:rsidR="00B764FC" w:rsidRPr="00606481" w:rsidRDefault="00B764FC">
            <w:pPr>
              <w:spacing w:line="276" w:lineRule="auto"/>
              <w:rPr>
                <w:b/>
                <w:bCs/>
                <w:sz w:val="20"/>
                <w:szCs w:val="20"/>
              </w:rPr>
            </w:pPr>
          </w:p>
        </w:tc>
        <w:tc>
          <w:tcPr>
            <w:tcW w:w="1820" w:type="dxa"/>
            <w:tcBorders>
              <w:left w:val="nil"/>
              <w:right w:val="nil"/>
            </w:tcBorders>
            <w:shd w:val="clear" w:color="auto" w:fill="C0C0C0"/>
          </w:tcPr>
          <w:p w14:paraId="68427E9C" w14:textId="77777777" w:rsidR="00B764FC" w:rsidRPr="00606481" w:rsidRDefault="00B764FC">
            <w:pPr>
              <w:spacing w:line="276" w:lineRule="auto"/>
              <w:rPr>
                <w:b/>
                <w:bCs/>
                <w:sz w:val="20"/>
                <w:szCs w:val="20"/>
              </w:rPr>
            </w:pPr>
          </w:p>
        </w:tc>
      </w:tr>
      <w:tr w:rsidR="00B764FC" w:rsidRPr="00FC60EB" w14:paraId="0253F74C" w14:textId="77777777">
        <w:tc>
          <w:tcPr>
            <w:tcW w:w="1917" w:type="dxa"/>
            <w:tcBorders>
              <w:left w:val="nil"/>
              <w:right w:val="nil"/>
            </w:tcBorders>
            <w:vAlign w:val="center"/>
          </w:tcPr>
          <w:p w14:paraId="4F149CC2" w14:textId="77777777" w:rsidR="00B764FC" w:rsidRPr="009135F8" w:rsidRDefault="00B764FC" w:rsidP="00077040">
            <w:pPr>
              <w:pStyle w:val="ListParagraph"/>
              <w:numPr>
                <w:ilvl w:val="0"/>
                <w:numId w:val="18"/>
              </w:numPr>
              <w:spacing w:line="276" w:lineRule="auto"/>
              <w:ind w:left="318" w:hanging="284"/>
              <w:rPr>
                <w:rFonts w:asciiTheme="minorHAnsi" w:hAnsiTheme="minorHAnsi" w:cstheme="minorHAnsi"/>
                <w:b/>
                <w:bCs/>
                <w:sz w:val="18"/>
                <w:szCs w:val="18"/>
              </w:rPr>
            </w:pPr>
            <w:r w:rsidRPr="009135F8">
              <w:rPr>
                <w:rFonts w:asciiTheme="minorHAnsi" w:hAnsiTheme="minorHAnsi" w:cstheme="minorHAnsi"/>
                <w:b/>
                <w:bCs/>
                <w:sz w:val="18"/>
                <w:szCs w:val="18"/>
              </w:rPr>
              <w:t xml:space="preserve">Negotiate a Social Housing  Agreement with the Commonwealth Government </w:t>
            </w:r>
          </w:p>
        </w:tc>
        <w:tc>
          <w:tcPr>
            <w:tcW w:w="3226" w:type="dxa"/>
            <w:gridSpan w:val="2"/>
            <w:tcBorders>
              <w:left w:val="nil"/>
              <w:right w:val="nil"/>
            </w:tcBorders>
          </w:tcPr>
          <w:p w14:paraId="64CEA3B4"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Including:</w:t>
            </w:r>
          </w:p>
          <w:p w14:paraId="666B1970" w14:textId="77777777" w:rsidR="00B764FC" w:rsidRPr="009135F8" w:rsidRDefault="00B764FC" w:rsidP="00077040">
            <w:pPr>
              <w:pStyle w:val="ListParagraph"/>
              <w:numPr>
                <w:ilvl w:val="0"/>
                <w:numId w:val="16"/>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Identification of Commonwealth Government owned sites that can be made available for residential development including social housing</w:t>
            </w:r>
          </w:p>
          <w:p w14:paraId="35BBD0DA" w14:textId="5BC97431" w:rsidR="00B764FC" w:rsidRPr="009135F8" w:rsidRDefault="00B764FC" w:rsidP="00077040">
            <w:pPr>
              <w:pStyle w:val="ListParagraph"/>
              <w:numPr>
                <w:ilvl w:val="0"/>
                <w:numId w:val="16"/>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 xml:space="preserve">Commitment of </w:t>
            </w:r>
            <w:r w:rsidR="001A22EA">
              <w:rPr>
                <w:rFonts w:asciiTheme="minorHAnsi" w:hAnsiTheme="minorHAnsi" w:cstheme="minorHAnsi"/>
                <w:sz w:val="18"/>
                <w:szCs w:val="18"/>
              </w:rPr>
              <w:t>National Housing &amp; Homelessness Infrastructure Corporation (</w:t>
            </w:r>
            <w:r w:rsidRPr="009135F8">
              <w:rPr>
                <w:rFonts w:asciiTheme="minorHAnsi" w:hAnsiTheme="minorHAnsi" w:cstheme="minorHAnsi"/>
                <w:sz w:val="18"/>
                <w:szCs w:val="18"/>
              </w:rPr>
              <w:t>NHFIC</w:t>
            </w:r>
            <w:r w:rsidR="001A22EA">
              <w:rPr>
                <w:rFonts w:asciiTheme="minorHAnsi" w:hAnsiTheme="minorHAnsi" w:cstheme="minorHAnsi"/>
                <w:sz w:val="18"/>
                <w:szCs w:val="18"/>
              </w:rPr>
              <w:t>)</w:t>
            </w:r>
            <w:r w:rsidRPr="009135F8">
              <w:rPr>
                <w:rFonts w:asciiTheme="minorHAnsi" w:hAnsiTheme="minorHAnsi" w:cstheme="minorHAnsi"/>
                <w:sz w:val="18"/>
                <w:szCs w:val="18"/>
              </w:rPr>
              <w:t xml:space="preserve"> finance to major new residential zones with a commitment to social housing inclusion</w:t>
            </w:r>
          </w:p>
          <w:p w14:paraId="01481C02" w14:textId="2673F2E7" w:rsidR="00B764FC" w:rsidRPr="009135F8" w:rsidRDefault="00B764FC" w:rsidP="00077040">
            <w:pPr>
              <w:pStyle w:val="ListParagraph"/>
              <w:numPr>
                <w:ilvl w:val="0"/>
                <w:numId w:val="16"/>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 xml:space="preserve">Commitment of </w:t>
            </w:r>
            <w:r w:rsidR="001A22EA">
              <w:rPr>
                <w:rFonts w:asciiTheme="minorHAnsi" w:hAnsiTheme="minorHAnsi" w:cstheme="minorHAnsi"/>
                <w:sz w:val="18"/>
                <w:szCs w:val="18"/>
              </w:rPr>
              <w:t>National Housing &amp; Homelessness Agreement (</w:t>
            </w:r>
            <w:r w:rsidRPr="009135F8">
              <w:rPr>
                <w:rFonts w:asciiTheme="minorHAnsi" w:hAnsiTheme="minorHAnsi" w:cstheme="minorHAnsi"/>
                <w:sz w:val="18"/>
                <w:szCs w:val="18"/>
              </w:rPr>
              <w:t>NHHA</w:t>
            </w:r>
            <w:r w:rsidR="001A22EA">
              <w:rPr>
                <w:rFonts w:asciiTheme="minorHAnsi" w:hAnsiTheme="minorHAnsi" w:cstheme="minorHAnsi"/>
                <w:sz w:val="18"/>
                <w:szCs w:val="18"/>
              </w:rPr>
              <w:t>)</w:t>
            </w:r>
            <w:r w:rsidRPr="009135F8">
              <w:rPr>
                <w:rFonts w:asciiTheme="minorHAnsi" w:hAnsiTheme="minorHAnsi" w:cstheme="minorHAnsi"/>
                <w:sz w:val="18"/>
                <w:szCs w:val="18"/>
              </w:rPr>
              <w:t xml:space="preserve"> funding to the renewal of large public housing estates in Geelong</w:t>
            </w:r>
          </w:p>
          <w:p w14:paraId="46671FEA" w14:textId="340D0910" w:rsidR="00B764FC" w:rsidRPr="009135F8" w:rsidRDefault="00B764FC" w:rsidP="00077040">
            <w:pPr>
              <w:pStyle w:val="ListParagraph"/>
              <w:numPr>
                <w:ilvl w:val="0"/>
                <w:numId w:val="16"/>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 xml:space="preserve">Commitment of </w:t>
            </w:r>
            <w:r w:rsidR="001A22EA">
              <w:rPr>
                <w:rFonts w:asciiTheme="minorHAnsi" w:hAnsiTheme="minorHAnsi" w:cstheme="minorHAnsi"/>
                <w:sz w:val="18"/>
                <w:szCs w:val="18"/>
              </w:rPr>
              <w:t>National Rental Affordability Scheme (</w:t>
            </w:r>
            <w:r w:rsidRPr="009135F8">
              <w:rPr>
                <w:rFonts w:asciiTheme="minorHAnsi" w:hAnsiTheme="minorHAnsi" w:cstheme="minorHAnsi"/>
                <w:sz w:val="18"/>
                <w:szCs w:val="18"/>
              </w:rPr>
              <w:t>NRAS</w:t>
            </w:r>
            <w:r w:rsidR="001A22EA">
              <w:rPr>
                <w:rFonts w:asciiTheme="minorHAnsi" w:hAnsiTheme="minorHAnsi" w:cstheme="minorHAnsi"/>
                <w:sz w:val="18"/>
                <w:szCs w:val="18"/>
              </w:rPr>
              <w:t>)</w:t>
            </w:r>
            <w:r w:rsidRPr="009135F8">
              <w:rPr>
                <w:rFonts w:asciiTheme="minorHAnsi" w:hAnsiTheme="minorHAnsi" w:cstheme="minorHAnsi"/>
                <w:sz w:val="18"/>
                <w:szCs w:val="18"/>
              </w:rPr>
              <w:t xml:space="preserve"> incentives to the development of affordable housing in Geelong</w:t>
            </w:r>
          </w:p>
        </w:tc>
        <w:tc>
          <w:tcPr>
            <w:tcW w:w="942" w:type="dxa"/>
            <w:tcBorders>
              <w:left w:val="nil"/>
              <w:right w:val="nil"/>
            </w:tcBorders>
            <w:vAlign w:val="center"/>
          </w:tcPr>
          <w:p w14:paraId="7D402DC5"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Short term-medium term</w:t>
            </w:r>
          </w:p>
        </w:tc>
        <w:tc>
          <w:tcPr>
            <w:tcW w:w="1309" w:type="dxa"/>
            <w:tcBorders>
              <w:left w:val="nil"/>
              <w:right w:val="nil"/>
            </w:tcBorders>
            <w:vAlign w:val="center"/>
          </w:tcPr>
          <w:p w14:paraId="2228DB19" w14:textId="4A4B4CF8"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This action is dependent upon funding provided by Council based on a successful Business Case</w:t>
            </w:r>
          </w:p>
        </w:tc>
        <w:tc>
          <w:tcPr>
            <w:tcW w:w="1820" w:type="dxa"/>
            <w:tcBorders>
              <w:left w:val="nil"/>
              <w:right w:val="nil"/>
            </w:tcBorders>
            <w:vAlign w:val="center"/>
          </w:tcPr>
          <w:p w14:paraId="146A23BA"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Secures Commonwealth investment in social housing in Geelong leveraging Council </w:t>
            </w:r>
          </w:p>
          <w:p w14:paraId="46E961A6"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Investment </w:t>
            </w:r>
          </w:p>
        </w:tc>
      </w:tr>
      <w:tr w:rsidR="00B764FC" w:rsidRPr="00FC60EB" w14:paraId="7620232D" w14:textId="77777777" w:rsidTr="00433B20">
        <w:tc>
          <w:tcPr>
            <w:tcW w:w="1917" w:type="dxa"/>
            <w:tcBorders>
              <w:left w:val="nil"/>
              <w:right w:val="nil"/>
            </w:tcBorders>
            <w:shd w:val="clear" w:color="auto" w:fill="F2F2F2" w:themeFill="background1" w:themeFillShade="F2"/>
            <w:vAlign w:val="center"/>
          </w:tcPr>
          <w:p w14:paraId="6A42D7DA" w14:textId="77777777" w:rsidR="00B764FC" w:rsidRPr="009135F8" w:rsidRDefault="00B764FC" w:rsidP="00077040">
            <w:pPr>
              <w:pStyle w:val="ListParagraph"/>
              <w:numPr>
                <w:ilvl w:val="0"/>
                <w:numId w:val="18"/>
              </w:numPr>
              <w:spacing w:line="276" w:lineRule="auto"/>
              <w:ind w:left="318" w:hanging="284"/>
              <w:rPr>
                <w:rFonts w:asciiTheme="minorHAnsi" w:hAnsiTheme="minorHAnsi" w:cstheme="minorHAnsi"/>
                <w:b/>
                <w:bCs/>
                <w:sz w:val="18"/>
                <w:szCs w:val="18"/>
              </w:rPr>
            </w:pPr>
            <w:r w:rsidRPr="009135F8">
              <w:rPr>
                <w:rFonts w:asciiTheme="minorHAnsi" w:hAnsiTheme="minorHAnsi" w:cstheme="minorHAnsi"/>
                <w:b/>
                <w:bCs/>
                <w:sz w:val="18"/>
                <w:szCs w:val="18"/>
              </w:rPr>
              <w:t>Negotiate a Social Housing Growth Agreement with the Victorian Government</w:t>
            </w:r>
          </w:p>
        </w:tc>
        <w:tc>
          <w:tcPr>
            <w:tcW w:w="3226" w:type="dxa"/>
            <w:gridSpan w:val="2"/>
            <w:tcBorders>
              <w:left w:val="nil"/>
              <w:right w:val="nil"/>
            </w:tcBorders>
            <w:shd w:val="clear" w:color="auto" w:fill="F2F2F2" w:themeFill="background1" w:themeFillShade="F2"/>
          </w:tcPr>
          <w:p w14:paraId="215FBDB6"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Including:</w:t>
            </w:r>
          </w:p>
          <w:p w14:paraId="70FDAEBB" w14:textId="77777777" w:rsidR="00B764FC" w:rsidRPr="009135F8" w:rsidRDefault="00B764FC" w:rsidP="00077040">
            <w:pPr>
              <w:pStyle w:val="ListParagraph"/>
              <w:numPr>
                <w:ilvl w:val="0"/>
                <w:numId w:val="17"/>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Growth targets for new social housing dwellings through the Geelong Affordable Housing Trust</w:t>
            </w:r>
          </w:p>
          <w:p w14:paraId="4F251DF0" w14:textId="77777777" w:rsidR="00B764FC" w:rsidRPr="009135F8" w:rsidRDefault="00B764FC" w:rsidP="00077040">
            <w:pPr>
              <w:pStyle w:val="ListParagraph"/>
              <w:numPr>
                <w:ilvl w:val="0"/>
                <w:numId w:val="17"/>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Allocation of State-owned sites for residential development including social housing</w:t>
            </w:r>
          </w:p>
          <w:p w14:paraId="5DFA7081" w14:textId="77777777" w:rsidR="00B764FC" w:rsidRPr="009135F8" w:rsidRDefault="00B764FC" w:rsidP="00077040">
            <w:pPr>
              <w:pStyle w:val="ListParagraph"/>
              <w:numPr>
                <w:ilvl w:val="0"/>
                <w:numId w:val="17"/>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Provision of a recurrent subsidy over 30 years under the Social Housing Growth Fund (or similar) to meet the identified gap between revenues and costs (operating and finance)</w:t>
            </w:r>
          </w:p>
          <w:p w14:paraId="6BBAE96A" w14:textId="77777777" w:rsidR="00B764FC" w:rsidRPr="009135F8" w:rsidRDefault="00B764FC" w:rsidP="00077040">
            <w:pPr>
              <w:pStyle w:val="ListParagraph"/>
              <w:numPr>
                <w:ilvl w:val="0"/>
                <w:numId w:val="17"/>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Business plan which demonstrates the financial viability of the growth strategy over a 30 year period including the full amortisation of all debt</w:t>
            </w:r>
          </w:p>
        </w:tc>
        <w:tc>
          <w:tcPr>
            <w:tcW w:w="942" w:type="dxa"/>
            <w:tcBorders>
              <w:left w:val="nil"/>
              <w:right w:val="nil"/>
            </w:tcBorders>
            <w:shd w:val="clear" w:color="auto" w:fill="F2F2F2" w:themeFill="background1" w:themeFillShade="F2"/>
            <w:vAlign w:val="center"/>
          </w:tcPr>
          <w:p w14:paraId="7C997E91"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Short term- medium term </w:t>
            </w:r>
          </w:p>
        </w:tc>
        <w:tc>
          <w:tcPr>
            <w:tcW w:w="1309" w:type="dxa"/>
            <w:tcBorders>
              <w:left w:val="nil"/>
              <w:right w:val="nil"/>
            </w:tcBorders>
            <w:shd w:val="clear" w:color="auto" w:fill="F2F2F2" w:themeFill="background1" w:themeFillShade="F2"/>
            <w:vAlign w:val="center"/>
          </w:tcPr>
          <w:p w14:paraId="279972A5" w14:textId="0BCB85AF"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This action is dependent upon funding provided by Council based on a successful Business Case </w:t>
            </w:r>
          </w:p>
        </w:tc>
        <w:tc>
          <w:tcPr>
            <w:tcW w:w="1820" w:type="dxa"/>
            <w:tcBorders>
              <w:left w:val="nil"/>
              <w:right w:val="nil"/>
            </w:tcBorders>
            <w:shd w:val="clear" w:color="auto" w:fill="F2F2F2" w:themeFill="background1" w:themeFillShade="F2"/>
            <w:vAlign w:val="center"/>
          </w:tcPr>
          <w:p w14:paraId="44CFE20F"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Secures State investment in social housing in Geelong leveraging Council investment</w:t>
            </w:r>
          </w:p>
        </w:tc>
      </w:tr>
      <w:tr w:rsidR="00B764FC" w:rsidRPr="00FC60EB" w14:paraId="10D4F6B2" w14:textId="77777777">
        <w:tc>
          <w:tcPr>
            <w:tcW w:w="1917" w:type="dxa"/>
            <w:tcBorders>
              <w:left w:val="nil"/>
              <w:right w:val="nil"/>
            </w:tcBorders>
          </w:tcPr>
          <w:p w14:paraId="49F26B5C" w14:textId="77777777" w:rsidR="00B764FC" w:rsidRPr="009135F8" w:rsidRDefault="00B764FC" w:rsidP="00077040">
            <w:pPr>
              <w:pStyle w:val="ListParagraph"/>
              <w:numPr>
                <w:ilvl w:val="0"/>
                <w:numId w:val="18"/>
              </w:numPr>
              <w:spacing w:line="276" w:lineRule="auto"/>
              <w:ind w:left="318" w:hanging="284"/>
              <w:rPr>
                <w:rFonts w:asciiTheme="minorHAnsi" w:hAnsiTheme="minorHAnsi" w:cstheme="minorHAnsi"/>
                <w:b/>
                <w:bCs/>
                <w:sz w:val="18"/>
                <w:szCs w:val="18"/>
              </w:rPr>
            </w:pPr>
            <w:r w:rsidRPr="009135F8">
              <w:rPr>
                <w:rFonts w:asciiTheme="minorHAnsi" w:hAnsiTheme="minorHAnsi" w:cstheme="minorHAnsi"/>
                <w:b/>
                <w:bCs/>
                <w:sz w:val="18"/>
                <w:szCs w:val="18"/>
              </w:rPr>
              <w:t xml:space="preserve">The development of a Neighbourhood Revitalisation Partnership between the City of Greater Geelong and the State Government Department of Health and Human </w:t>
            </w:r>
            <w:r w:rsidRPr="009135F8">
              <w:rPr>
                <w:rFonts w:asciiTheme="minorHAnsi" w:hAnsiTheme="minorHAnsi" w:cstheme="minorHAnsi"/>
                <w:b/>
                <w:bCs/>
                <w:sz w:val="18"/>
                <w:szCs w:val="18"/>
              </w:rPr>
              <w:lastRenderedPageBreak/>
              <w:t>Services (DHHS)</w:t>
            </w:r>
          </w:p>
        </w:tc>
        <w:tc>
          <w:tcPr>
            <w:tcW w:w="3226" w:type="dxa"/>
            <w:gridSpan w:val="2"/>
            <w:tcBorders>
              <w:left w:val="nil"/>
              <w:right w:val="nil"/>
            </w:tcBorders>
          </w:tcPr>
          <w:p w14:paraId="740D858E"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lastRenderedPageBreak/>
              <w:t>Including:</w:t>
            </w:r>
          </w:p>
          <w:p w14:paraId="45C99052"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10 year Neighbourhood Renewal Strategy.</w:t>
            </w:r>
          </w:p>
          <w:p w14:paraId="60B27DD1"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5 year Neighbourhood Renewal Plan for Corio, Norlane &amp; Whittington.</w:t>
            </w:r>
          </w:p>
          <w:p w14:paraId="3A91A793"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 xml:space="preserve">A commitment to an approach that integrates improvements to the physical environment and builds the social capital of each community; and enhances the desirability to live in each area while ensuring the traditional public housing residents are not </w:t>
            </w:r>
            <w:r w:rsidRPr="009135F8">
              <w:rPr>
                <w:rFonts w:asciiTheme="minorHAnsi" w:hAnsiTheme="minorHAnsi" w:cstheme="minorHAnsi"/>
                <w:sz w:val="18"/>
                <w:szCs w:val="18"/>
              </w:rPr>
              <w:lastRenderedPageBreak/>
              <w:t>displaced but can enjoy improved living conditions</w:t>
            </w:r>
          </w:p>
          <w:p w14:paraId="00D6746B" w14:textId="7E6C0AF3" w:rsidR="00B764FC" w:rsidRPr="009135F8" w:rsidRDefault="00B764FC">
            <w:pPr>
              <w:spacing w:line="276" w:lineRule="auto"/>
              <w:ind w:left="197"/>
              <w:rPr>
                <w:rFonts w:asciiTheme="minorHAnsi" w:hAnsiTheme="minorHAnsi" w:cstheme="minorHAnsi"/>
                <w:sz w:val="18"/>
                <w:szCs w:val="18"/>
              </w:rPr>
            </w:pPr>
          </w:p>
          <w:p w14:paraId="11ED1819" w14:textId="4FC22876" w:rsidR="00C601EE" w:rsidRPr="009135F8" w:rsidRDefault="00C601EE">
            <w:pPr>
              <w:spacing w:line="276" w:lineRule="auto"/>
              <w:ind w:left="197"/>
              <w:rPr>
                <w:rFonts w:asciiTheme="minorHAnsi" w:hAnsiTheme="minorHAnsi" w:cstheme="minorHAnsi"/>
                <w:sz w:val="18"/>
                <w:szCs w:val="18"/>
              </w:rPr>
            </w:pPr>
          </w:p>
          <w:p w14:paraId="6697053D" w14:textId="77777777" w:rsidR="00C601EE" w:rsidRPr="009135F8" w:rsidRDefault="00C601EE">
            <w:pPr>
              <w:spacing w:line="276" w:lineRule="auto"/>
              <w:ind w:left="197"/>
              <w:rPr>
                <w:rFonts w:asciiTheme="minorHAnsi" w:hAnsiTheme="minorHAnsi" w:cstheme="minorHAnsi"/>
                <w:sz w:val="18"/>
                <w:szCs w:val="18"/>
              </w:rPr>
            </w:pPr>
          </w:p>
          <w:p w14:paraId="3E3CE152"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Guiding principles:</w:t>
            </w:r>
          </w:p>
          <w:p w14:paraId="409CE653"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Redevelopment of public housing dwellings at the end of their useful life or no longer appropriate to housing needs</w:t>
            </w:r>
          </w:p>
          <w:p w14:paraId="5E3CD3CB"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Improvement of public housing that is physically sound to meet the needs of existing and future social housing tenants</w:t>
            </w:r>
          </w:p>
          <w:p w14:paraId="5E960430"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Place based tenancy and property management of the public housing dwellings</w:t>
            </w:r>
          </w:p>
          <w:p w14:paraId="3C2B7F6D"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Place based maintenance of the public domain including parks, gardens and community facilities</w:t>
            </w:r>
          </w:p>
          <w:p w14:paraId="6BC45834"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Coordination of training and employment programs which link local residents to the economy of place-based management</w:t>
            </w:r>
          </w:p>
          <w:p w14:paraId="6678BA66" w14:textId="77777777" w:rsidR="00B764FC" w:rsidRPr="009135F8" w:rsidRDefault="00B764FC" w:rsidP="00077040">
            <w:pPr>
              <w:pStyle w:val="ListParagraph"/>
              <w:numPr>
                <w:ilvl w:val="0"/>
                <w:numId w:val="20"/>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Community development program designed to enhance health and well-being, improve community safety, and increase participation in community and civic activities</w:t>
            </w:r>
          </w:p>
        </w:tc>
        <w:tc>
          <w:tcPr>
            <w:tcW w:w="942" w:type="dxa"/>
            <w:tcBorders>
              <w:left w:val="nil"/>
              <w:right w:val="nil"/>
            </w:tcBorders>
            <w:vAlign w:val="center"/>
          </w:tcPr>
          <w:p w14:paraId="4093D078" w14:textId="19D453A2"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lastRenderedPageBreak/>
              <w:t>Medium term-long term</w:t>
            </w:r>
          </w:p>
        </w:tc>
        <w:tc>
          <w:tcPr>
            <w:tcW w:w="1309" w:type="dxa"/>
            <w:tcBorders>
              <w:left w:val="nil"/>
              <w:right w:val="nil"/>
            </w:tcBorders>
            <w:vAlign w:val="center"/>
          </w:tcPr>
          <w:p w14:paraId="01B15747"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 This action is dependent upon a successful Business Case and funding explored between Council and the Victorian State Government.</w:t>
            </w:r>
          </w:p>
        </w:tc>
        <w:tc>
          <w:tcPr>
            <w:tcW w:w="1820" w:type="dxa"/>
            <w:tcBorders>
              <w:left w:val="nil"/>
              <w:right w:val="nil"/>
            </w:tcBorders>
            <w:vAlign w:val="center"/>
          </w:tcPr>
          <w:p w14:paraId="0B6DDD71"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Long term collaborative strategy backed by appropriate resources to complete the process of urban renewal in areas of concentrated social disadvantage</w:t>
            </w:r>
          </w:p>
        </w:tc>
      </w:tr>
    </w:tbl>
    <w:p w14:paraId="5508CF70" w14:textId="77777777" w:rsidR="00B764FC" w:rsidRPr="009135F8" w:rsidRDefault="00B764FC">
      <w:pPr>
        <w:rPr>
          <w:rFonts w:asciiTheme="minorHAnsi" w:hAnsiTheme="minorHAnsi" w:cstheme="minorHAnsi"/>
        </w:rPr>
      </w:pPr>
      <w:r w:rsidRPr="009135F8">
        <w:rPr>
          <w:rFonts w:asciiTheme="minorHAnsi" w:hAnsiTheme="minorHAnsi" w:cstheme="minorHAnsi"/>
        </w:rPr>
        <w:br w:type="page"/>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07"/>
        <w:gridCol w:w="23"/>
        <w:gridCol w:w="3354"/>
        <w:gridCol w:w="943"/>
        <w:gridCol w:w="1225"/>
        <w:gridCol w:w="1862"/>
      </w:tblGrid>
      <w:tr w:rsidR="00B764FC" w14:paraId="72F2022C" w14:textId="77777777" w:rsidTr="001A22EA">
        <w:trPr>
          <w:tblHeader/>
        </w:trPr>
        <w:tc>
          <w:tcPr>
            <w:tcW w:w="1807" w:type="dxa"/>
            <w:tcBorders>
              <w:left w:val="nil"/>
              <w:right w:val="nil"/>
            </w:tcBorders>
            <w:shd w:val="clear" w:color="auto" w:fill="002060"/>
          </w:tcPr>
          <w:p w14:paraId="4E0AE2E7" w14:textId="77777777" w:rsidR="00B764FC" w:rsidRDefault="00B764FC">
            <w:pPr>
              <w:spacing w:line="276" w:lineRule="auto"/>
              <w:rPr>
                <w:b/>
                <w:bCs/>
                <w:color w:val="FFFFFF"/>
                <w:sz w:val="18"/>
                <w:szCs w:val="18"/>
              </w:rPr>
            </w:pPr>
            <w:r>
              <w:rPr>
                <w:b/>
                <w:bCs/>
                <w:color w:val="FFFFFF"/>
                <w:sz w:val="18"/>
                <w:szCs w:val="18"/>
              </w:rPr>
              <w:lastRenderedPageBreak/>
              <w:t>Strategy</w:t>
            </w:r>
          </w:p>
        </w:tc>
        <w:tc>
          <w:tcPr>
            <w:tcW w:w="3377" w:type="dxa"/>
            <w:gridSpan w:val="2"/>
            <w:tcBorders>
              <w:left w:val="nil"/>
              <w:right w:val="nil"/>
            </w:tcBorders>
            <w:shd w:val="clear" w:color="auto" w:fill="002060"/>
          </w:tcPr>
          <w:p w14:paraId="12AF8699" w14:textId="77777777" w:rsidR="00B764FC" w:rsidRDefault="00B764FC">
            <w:pPr>
              <w:spacing w:before="40" w:after="40" w:line="276" w:lineRule="auto"/>
              <w:rPr>
                <w:b/>
                <w:bCs/>
                <w:color w:val="FFFFFF"/>
                <w:sz w:val="18"/>
                <w:szCs w:val="18"/>
              </w:rPr>
            </w:pPr>
            <w:r>
              <w:rPr>
                <w:b/>
                <w:bCs/>
                <w:color w:val="FFFFFF"/>
                <w:sz w:val="18"/>
                <w:szCs w:val="18"/>
              </w:rPr>
              <w:t>Actions</w:t>
            </w:r>
          </w:p>
        </w:tc>
        <w:tc>
          <w:tcPr>
            <w:tcW w:w="943" w:type="dxa"/>
            <w:tcBorders>
              <w:left w:val="nil"/>
              <w:right w:val="nil"/>
            </w:tcBorders>
            <w:shd w:val="clear" w:color="auto" w:fill="002060"/>
          </w:tcPr>
          <w:p w14:paraId="72CB446A" w14:textId="77777777" w:rsidR="00B764FC" w:rsidRDefault="00B764FC">
            <w:pPr>
              <w:spacing w:line="276" w:lineRule="auto"/>
              <w:rPr>
                <w:b/>
                <w:bCs/>
                <w:color w:val="FFFFFF"/>
                <w:sz w:val="18"/>
                <w:szCs w:val="18"/>
              </w:rPr>
            </w:pPr>
            <w:r>
              <w:rPr>
                <w:b/>
                <w:bCs/>
                <w:color w:val="FFFFFF"/>
                <w:sz w:val="18"/>
                <w:szCs w:val="18"/>
              </w:rPr>
              <w:t>Timelines</w:t>
            </w:r>
          </w:p>
        </w:tc>
        <w:tc>
          <w:tcPr>
            <w:tcW w:w="1225" w:type="dxa"/>
            <w:tcBorders>
              <w:left w:val="nil"/>
              <w:right w:val="nil"/>
            </w:tcBorders>
            <w:shd w:val="clear" w:color="auto" w:fill="002060"/>
          </w:tcPr>
          <w:p w14:paraId="7B0C967B" w14:textId="77777777" w:rsidR="00B764FC" w:rsidRDefault="00B764FC">
            <w:pPr>
              <w:spacing w:line="276" w:lineRule="auto"/>
              <w:rPr>
                <w:b/>
                <w:bCs/>
                <w:color w:val="FFFFFF"/>
                <w:sz w:val="18"/>
                <w:szCs w:val="18"/>
              </w:rPr>
            </w:pPr>
            <w:r>
              <w:rPr>
                <w:b/>
                <w:bCs/>
                <w:color w:val="FFFFFF"/>
                <w:sz w:val="18"/>
                <w:szCs w:val="18"/>
              </w:rPr>
              <w:t>Resources</w:t>
            </w:r>
          </w:p>
        </w:tc>
        <w:tc>
          <w:tcPr>
            <w:tcW w:w="1862" w:type="dxa"/>
            <w:tcBorders>
              <w:left w:val="nil"/>
              <w:right w:val="nil"/>
            </w:tcBorders>
            <w:shd w:val="clear" w:color="auto" w:fill="002060"/>
          </w:tcPr>
          <w:p w14:paraId="2CF5F62E" w14:textId="77777777" w:rsidR="00B764FC" w:rsidRDefault="00B764FC">
            <w:pPr>
              <w:spacing w:line="276" w:lineRule="auto"/>
              <w:rPr>
                <w:b/>
                <w:bCs/>
                <w:color w:val="FFFFFF"/>
                <w:sz w:val="18"/>
                <w:szCs w:val="18"/>
              </w:rPr>
            </w:pPr>
            <w:r>
              <w:rPr>
                <w:b/>
                <w:bCs/>
                <w:color w:val="FFFFFF"/>
                <w:sz w:val="18"/>
                <w:szCs w:val="18"/>
              </w:rPr>
              <w:t>Benefits</w:t>
            </w:r>
          </w:p>
        </w:tc>
      </w:tr>
      <w:tr w:rsidR="00B764FC" w:rsidRPr="00606481" w14:paraId="434A90E1" w14:textId="77777777">
        <w:tc>
          <w:tcPr>
            <w:tcW w:w="5184" w:type="dxa"/>
            <w:gridSpan w:val="3"/>
            <w:tcBorders>
              <w:left w:val="nil"/>
              <w:right w:val="nil"/>
            </w:tcBorders>
            <w:shd w:val="clear" w:color="auto" w:fill="C0C0C0"/>
          </w:tcPr>
          <w:p w14:paraId="494A4C6B" w14:textId="77777777" w:rsidR="00B764FC" w:rsidRPr="00606481" w:rsidRDefault="00B764FC" w:rsidP="0054190D">
            <w:pPr>
              <w:pStyle w:val="ListParagraph"/>
              <w:numPr>
                <w:ilvl w:val="0"/>
                <w:numId w:val="66"/>
              </w:numPr>
              <w:spacing w:line="276" w:lineRule="auto"/>
              <w:rPr>
                <w:b/>
                <w:bCs/>
                <w:sz w:val="20"/>
                <w:szCs w:val="20"/>
              </w:rPr>
            </w:pPr>
            <w:r w:rsidRPr="00606481">
              <w:rPr>
                <w:b/>
                <w:bCs/>
                <w:sz w:val="20"/>
                <w:szCs w:val="20"/>
              </w:rPr>
              <w:t>Capacity Building Strategies</w:t>
            </w:r>
          </w:p>
        </w:tc>
        <w:tc>
          <w:tcPr>
            <w:tcW w:w="943" w:type="dxa"/>
            <w:tcBorders>
              <w:left w:val="nil"/>
              <w:right w:val="nil"/>
            </w:tcBorders>
            <w:shd w:val="clear" w:color="auto" w:fill="C0C0C0"/>
          </w:tcPr>
          <w:p w14:paraId="42627738" w14:textId="77777777" w:rsidR="00B764FC" w:rsidRPr="00606481" w:rsidRDefault="00B764FC">
            <w:pPr>
              <w:spacing w:line="276" w:lineRule="auto"/>
              <w:rPr>
                <w:b/>
                <w:bCs/>
                <w:sz w:val="20"/>
                <w:szCs w:val="20"/>
              </w:rPr>
            </w:pPr>
          </w:p>
        </w:tc>
        <w:tc>
          <w:tcPr>
            <w:tcW w:w="1225" w:type="dxa"/>
            <w:tcBorders>
              <w:left w:val="nil"/>
              <w:right w:val="nil"/>
            </w:tcBorders>
            <w:shd w:val="clear" w:color="auto" w:fill="C0C0C0"/>
          </w:tcPr>
          <w:p w14:paraId="56846AB8" w14:textId="77777777" w:rsidR="00B764FC" w:rsidRPr="00606481" w:rsidRDefault="00B764FC">
            <w:pPr>
              <w:spacing w:line="276" w:lineRule="auto"/>
              <w:rPr>
                <w:b/>
                <w:bCs/>
                <w:sz w:val="20"/>
                <w:szCs w:val="20"/>
              </w:rPr>
            </w:pPr>
          </w:p>
        </w:tc>
        <w:tc>
          <w:tcPr>
            <w:tcW w:w="1862" w:type="dxa"/>
            <w:tcBorders>
              <w:left w:val="nil"/>
              <w:right w:val="nil"/>
            </w:tcBorders>
            <w:shd w:val="clear" w:color="auto" w:fill="C0C0C0"/>
          </w:tcPr>
          <w:p w14:paraId="30FF0AB5" w14:textId="77777777" w:rsidR="00B764FC" w:rsidRPr="00606481" w:rsidRDefault="00B764FC">
            <w:pPr>
              <w:spacing w:line="276" w:lineRule="auto"/>
              <w:rPr>
                <w:b/>
                <w:bCs/>
                <w:sz w:val="20"/>
                <w:szCs w:val="20"/>
              </w:rPr>
            </w:pPr>
          </w:p>
        </w:tc>
      </w:tr>
      <w:tr w:rsidR="00B764FC" w14:paraId="7901EBF2" w14:textId="77777777">
        <w:tc>
          <w:tcPr>
            <w:tcW w:w="1830" w:type="dxa"/>
            <w:gridSpan w:val="2"/>
            <w:tcBorders>
              <w:left w:val="nil"/>
              <w:right w:val="nil"/>
            </w:tcBorders>
            <w:vAlign w:val="center"/>
          </w:tcPr>
          <w:p w14:paraId="1EA4DA63" w14:textId="74F449A1" w:rsidR="00B764FC" w:rsidRDefault="001A22EA" w:rsidP="00077040">
            <w:pPr>
              <w:pStyle w:val="ListParagraph"/>
              <w:numPr>
                <w:ilvl w:val="0"/>
                <w:numId w:val="19"/>
              </w:numPr>
              <w:spacing w:line="276" w:lineRule="auto"/>
              <w:ind w:left="318" w:hanging="284"/>
              <w:rPr>
                <w:b/>
                <w:bCs/>
                <w:sz w:val="18"/>
                <w:szCs w:val="18"/>
              </w:rPr>
            </w:pPr>
            <w:r>
              <w:rPr>
                <w:b/>
                <w:bCs/>
                <w:sz w:val="18"/>
                <w:szCs w:val="18"/>
              </w:rPr>
              <w:t>Investigate th</w:t>
            </w:r>
            <w:r w:rsidR="00B764FC">
              <w:rPr>
                <w:b/>
                <w:bCs/>
                <w:sz w:val="18"/>
                <w:szCs w:val="18"/>
              </w:rPr>
              <w:t>e creation of an Affordable Housing Trust by the City of Greater Geelong</w:t>
            </w:r>
          </w:p>
          <w:p w14:paraId="355AC8DB" w14:textId="77777777" w:rsidR="00B764FC" w:rsidRDefault="00B764FC">
            <w:pPr>
              <w:pStyle w:val="ListParagraph"/>
              <w:spacing w:line="276" w:lineRule="auto"/>
              <w:ind w:left="318"/>
              <w:rPr>
                <w:b/>
                <w:bCs/>
                <w:sz w:val="18"/>
                <w:szCs w:val="18"/>
              </w:rPr>
            </w:pPr>
          </w:p>
        </w:tc>
        <w:tc>
          <w:tcPr>
            <w:tcW w:w="3354" w:type="dxa"/>
            <w:tcBorders>
              <w:left w:val="nil"/>
              <w:right w:val="nil"/>
            </w:tcBorders>
          </w:tcPr>
          <w:p w14:paraId="76D83892"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Legal establishment of a special purpose social housing investment vehicle which is:</w:t>
            </w:r>
          </w:p>
          <w:p w14:paraId="5FFF3006" w14:textId="77777777" w:rsidR="00B764FC" w:rsidRPr="009135F8" w:rsidRDefault="00B764FC" w:rsidP="00077040">
            <w:pPr>
              <w:pStyle w:val="ListParagraph"/>
              <w:numPr>
                <w:ilvl w:val="0"/>
                <w:numId w:val="21"/>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The recipient of any land identified as surplus to Council requirements and suitable for social housing</w:t>
            </w:r>
          </w:p>
          <w:p w14:paraId="5BE2411A" w14:textId="5BBF1D32" w:rsidR="00B764FC" w:rsidRPr="009135F8" w:rsidRDefault="00B764FC" w:rsidP="00077040">
            <w:pPr>
              <w:pStyle w:val="ListParagraph"/>
              <w:numPr>
                <w:ilvl w:val="0"/>
                <w:numId w:val="21"/>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 xml:space="preserve">The recipient of the annual Social Housing Budget approved by </w:t>
            </w:r>
            <w:r w:rsidR="001A22EA">
              <w:rPr>
                <w:rFonts w:asciiTheme="minorHAnsi" w:hAnsiTheme="minorHAnsi" w:cstheme="minorHAnsi"/>
                <w:sz w:val="18"/>
                <w:szCs w:val="18"/>
              </w:rPr>
              <w:t>the City</w:t>
            </w:r>
          </w:p>
          <w:p w14:paraId="11E86401" w14:textId="77777777" w:rsidR="00B764FC" w:rsidRPr="009135F8" w:rsidRDefault="00B764FC" w:rsidP="00077040">
            <w:pPr>
              <w:pStyle w:val="ListParagraph"/>
              <w:numPr>
                <w:ilvl w:val="0"/>
                <w:numId w:val="21"/>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The beneficiary of any Affordable Housing Development Contribution negotiated by Council through a Section 173 Agreement during a Development Approval process</w:t>
            </w:r>
          </w:p>
          <w:p w14:paraId="1B5140E0" w14:textId="77777777" w:rsidR="00B764FC" w:rsidRPr="009135F8" w:rsidRDefault="00B764FC" w:rsidP="00077040">
            <w:pPr>
              <w:pStyle w:val="ListParagraph"/>
              <w:numPr>
                <w:ilvl w:val="0"/>
                <w:numId w:val="21"/>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The investment vehicle in which State and Commonwealth investments can be secured</w:t>
            </w:r>
          </w:p>
        </w:tc>
        <w:tc>
          <w:tcPr>
            <w:tcW w:w="943" w:type="dxa"/>
            <w:tcBorders>
              <w:left w:val="nil"/>
              <w:right w:val="nil"/>
            </w:tcBorders>
            <w:vAlign w:val="center"/>
          </w:tcPr>
          <w:p w14:paraId="173281EE" w14:textId="04123684"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Short </w:t>
            </w:r>
            <w:r w:rsidR="00F35123">
              <w:rPr>
                <w:rFonts w:asciiTheme="minorHAnsi" w:hAnsiTheme="minorHAnsi" w:cstheme="minorHAnsi"/>
                <w:sz w:val="18"/>
                <w:szCs w:val="18"/>
              </w:rPr>
              <w:t>-</w:t>
            </w:r>
            <w:r w:rsidRPr="009135F8">
              <w:rPr>
                <w:rFonts w:asciiTheme="minorHAnsi" w:hAnsiTheme="minorHAnsi" w:cstheme="minorHAnsi"/>
                <w:sz w:val="18"/>
                <w:szCs w:val="18"/>
              </w:rPr>
              <w:t>term</w:t>
            </w:r>
          </w:p>
        </w:tc>
        <w:tc>
          <w:tcPr>
            <w:tcW w:w="1225" w:type="dxa"/>
            <w:tcBorders>
              <w:left w:val="nil"/>
              <w:right w:val="nil"/>
            </w:tcBorders>
            <w:vAlign w:val="center"/>
          </w:tcPr>
          <w:p w14:paraId="07AF55EA"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This action is dependent upon a Business Case to be developed and approved by Council. Some resourcing is required.</w:t>
            </w:r>
          </w:p>
        </w:tc>
        <w:tc>
          <w:tcPr>
            <w:tcW w:w="1862" w:type="dxa"/>
            <w:tcBorders>
              <w:left w:val="nil"/>
              <w:right w:val="nil"/>
            </w:tcBorders>
            <w:vAlign w:val="center"/>
          </w:tcPr>
          <w:p w14:paraId="6C7FAC4D"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A special purpose investment vehicle providing security for all investments in social housing from Council, State and Commonwealth Governments and through the planning system</w:t>
            </w:r>
          </w:p>
        </w:tc>
      </w:tr>
      <w:tr w:rsidR="00B764FC" w14:paraId="37388A98" w14:textId="77777777" w:rsidTr="00433B20">
        <w:tc>
          <w:tcPr>
            <w:tcW w:w="1830" w:type="dxa"/>
            <w:gridSpan w:val="2"/>
            <w:tcBorders>
              <w:left w:val="nil"/>
              <w:right w:val="nil"/>
            </w:tcBorders>
            <w:shd w:val="clear" w:color="auto" w:fill="F2F2F2" w:themeFill="background1" w:themeFillShade="F2"/>
            <w:vAlign w:val="center"/>
          </w:tcPr>
          <w:p w14:paraId="59C5AB5B" w14:textId="71177893" w:rsidR="00B764FC" w:rsidRDefault="001A22EA" w:rsidP="00077040">
            <w:pPr>
              <w:pStyle w:val="ListParagraph"/>
              <w:numPr>
                <w:ilvl w:val="0"/>
                <w:numId w:val="19"/>
              </w:numPr>
              <w:spacing w:line="276" w:lineRule="auto"/>
              <w:ind w:left="318" w:hanging="284"/>
              <w:rPr>
                <w:b/>
                <w:bCs/>
                <w:sz w:val="18"/>
                <w:szCs w:val="18"/>
              </w:rPr>
            </w:pPr>
            <w:r>
              <w:rPr>
                <w:b/>
                <w:bCs/>
                <w:sz w:val="18"/>
                <w:szCs w:val="18"/>
              </w:rPr>
              <w:t xml:space="preserve">Investigate the appropriate Governance model of an affordable Housing Trust. </w:t>
            </w:r>
          </w:p>
        </w:tc>
        <w:tc>
          <w:tcPr>
            <w:tcW w:w="3354" w:type="dxa"/>
            <w:tcBorders>
              <w:left w:val="nil"/>
              <w:right w:val="nil"/>
            </w:tcBorders>
            <w:shd w:val="clear" w:color="auto" w:fill="F2F2F2" w:themeFill="background1" w:themeFillShade="F2"/>
          </w:tcPr>
          <w:p w14:paraId="0F4BB96C"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Incorporation of a special purpose Trustee Company to manage the Affordable Housing Trust with:</w:t>
            </w:r>
          </w:p>
          <w:p w14:paraId="67152545" w14:textId="5051AE67" w:rsidR="00B764FC" w:rsidRPr="009135F8" w:rsidRDefault="00B764FC" w:rsidP="00077040">
            <w:pPr>
              <w:pStyle w:val="ListParagraph"/>
              <w:numPr>
                <w:ilvl w:val="0"/>
                <w:numId w:val="22"/>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 xml:space="preserve">Membership based on key stakeholders in the economy such as </w:t>
            </w:r>
            <w:r w:rsidR="001A22EA">
              <w:rPr>
                <w:rFonts w:asciiTheme="minorHAnsi" w:hAnsiTheme="minorHAnsi" w:cstheme="minorHAnsi"/>
                <w:sz w:val="18"/>
                <w:szCs w:val="18"/>
              </w:rPr>
              <w:t>the City</w:t>
            </w:r>
            <w:r w:rsidRPr="009135F8">
              <w:rPr>
                <w:rFonts w:asciiTheme="minorHAnsi" w:hAnsiTheme="minorHAnsi" w:cstheme="minorHAnsi"/>
                <w:sz w:val="18"/>
                <w:szCs w:val="18"/>
              </w:rPr>
              <w:t>, G21, Committee for Geelong and Give Where You Live</w:t>
            </w:r>
          </w:p>
          <w:p w14:paraId="3143BB62" w14:textId="77777777" w:rsidR="00B764FC" w:rsidRPr="009135F8" w:rsidRDefault="00B764FC" w:rsidP="00077040">
            <w:pPr>
              <w:pStyle w:val="ListParagraph"/>
              <w:numPr>
                <w:ilvl w:val="0"/>
                <w:numId w:val="22"/>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Directors appointed for their skills and experience to develop a social housing property portfolio and manage the assets for the benefit of the community</w:t>
            </w:r>
          </w:p>
          <w:p w14:paraId="0E7866FC" w14:textId="77777777" w:rsidR="00B764FC" w:rsidRPr="009135F8" w:rsidRDefault="00B764FC" w:rsidP="00077040">
            <w:pPr>
              <w:pStyle w:val="ListParagraph"/>
              <w:numPr>
                <w:ilvl w:val="0"/>
                <w:numId w:val="22"/>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Employ property professionals with social values and the capacity to implement an approved business plan for the growth of social housing</w:t>
            </w:r>
          </w:p>
          <w:p w14:paraId="3C1396DB" w14:textId="77777777" w:rsidR="00B764FC" w:rsidRPr="009135F8" w:rsidRDefault="00B764FC" w:rsidP="00077040">
            <w:pPr>
              <w:pStyle w:val="ListParagraph"/>
              <w:numPr>
                <w:ilvl w:val="0"/>
                <w:numId w:val="22"/>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Secure registration as a Housing Agency under the Victorian Housing Act</w:t>
            </w:r>
          </w:p>
          <w:p w14:paraId="568F2A12" w14:textId="77777777" w:rsidR="00B764FC" w:rsidRPr="009135F8" w:rsidRDefault="00B764FC" w:rsidP="00077040">
            <w:pPr>
              <w:pStyle w:val="ListParagraph"/>
              <w:numPr>
                <w:ilvl w:val="0"/>
                <w:numId w:val="22"/>
              </w:numPr>
              <w:spacing w:line="276" w:lineRule="auto"/>
              <w:ind w:left="339" w:hanging="142"/>
              <w:rPr>
                <w:rFonts w:asciiTheme="minorHAnsi" w:hAnsiTheme="minorHAnsi" w:cstheme="minorHAnsi"/>
                <w:sz w:val="18"/>
                <w:szCs w:val="18"/>
              </w:rPr>
            </w:pPr>
            <w:r w:rsidRPr="009135F8">
              <w:rPr>
                <w:rFonts w:asciiTheme="minorHAnsi" w:hAnsiTheme="minorHAnsi" w:cstheme="minorHAnsi"/>
                <w:sz w:val="18"/>
                <w:szCs w:val="18"/>
              </w:rPr>
              <w:t>Appoint existing Registered Housing Agencies to develop projects and manage properties owned by the Affordable Housing Trust based on their proven capacity to provide excellent service to the designated resident group (role to be dependent on which option is selected for the company)</w:t>
            </w:r>
          </w:p>
        </w:tc>
        <w:tc>
          <w:tcPr>
            <w:tcW w:w="943" w:type="dxa"/>
            <w:tcBorders>
              <w:left w:val="nil"/>
              <w:right w:val="nil"/>
            </w:tcBorders>
            <w:shd w:val="clear" w:color="auto" w:fill="F2F2F2" w:themeFill="background1" w:themeFillShade="F2"/>
            <w:vAlign w:val="center"/>
          </w:tcPr>
          <w:p w14:paraId="4D4DDE90" w14:textId="0FE94BEB" w:rsidR="00B764FC" w:rsidRPr="009135F8" w:rsidRDefault="00F35123">
            <w:pPr>
              <w:spacing w:line="276" w:lineRule="auto"/>
              <w:rPr>
                <w:rFonts w:asciiTheme="minorHAnsi" w:hAnsiTheme="minorHAnsi" w:cstheme="minorHAnsi"/>
                <w:sz w:val="18"/>
                <w:szCs w:val="18"/>
              </w:rPr>
            </w:pPr>
            <w:r>
              <w:rPr>
                <w:rFonts w:asciiTheme="minorHAnsi" w:hAnsiTheme="minorHAnsi" w:cstheme="minorHAnsi"/>
                <w:sz w:val="18"/>
                <w:szCs w:val="18"/>
              </w:rPr>
              <w:t xml:space="preserve">Short - </w:t>
            </w:r>
            <w:r w:rsidR="00B764FC" w:rsidRPr="009135F8">
              <w:rPr>
                <w:rFonts w:asciiTheme="minorHAnsi" w:hAnsiTheme="minorHAnsi" w:cstheme="minorHAnsi"/>
                <w:sz w:val="18"/>
                <w:szCs w:val="18"/>
              </w:rPr>
              <w:t xml:space="preserve"> term </w:t>
            </w:r>
          </w:p>
        </w:tc>
        <w:tc>
          <w:tcPr>
            <w:tcW w:w="1225" w:type="dxa"/>
            <w:tcBorders>
              <w:left w:val="nil"/>
              <w:right w:val="nil"/>
            </w:tcBorders>
            <w:shd w:val="clear" w:color="auto" w:fill="F2F2F2" w:themeFill="background1" w:themeFillShade="F2"/>
            <w:vAlign w:val="center"/>
          </w:tcPr>
          <w:p w14:paraId="3F6014FA"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This action is dependent upon a Business Case to be developed. Significant Council resourcing is required. </w:t>
            </w:r>
          </w:p>
        </w:tc>
        <w:tc>
          <w:tcPr>
            <w:tcW w:w="1862" w:type="dxa"/>
            <w:tcBorders>
              <w:left w:val="nil"/>
              <w:right w:val="nil"/>
            </w:tcBorders>
            <w:shd w:val="clear" w:color="auto" w:fill="FFFFFF"/>
            <w:vAlign w:val="center"/>
          </w:tcPr>
          <w:p w14:paraId="64118C6A" w14:textId="77777777"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A competent </w:t>
            </w:r>
          </w:p>
          <w:p w14:paraId="1044B74C" w14:textId="689C73A4" w:rsidR="00B764FC" w:rsidRPr="009135F8" w:rsidRDefault="00B764FC">
            <w:pPr>
              <w:spacing w:line="276" w:lineRule="auto"/>
              <w:rPr>
                <w:rFonts w:asciiTheme="minorHAnsi" w:hAnsiTheme="minorHAnsi" w:cstheme="minorHAnsi"/>
                <w:sz w:val="18"/>
                <w:szCs w:val="18"/>
              </w:rPr>
            </w:pPr>
            <w:r w:rsidRPr="009135F8">
              <w:rPr>
                <w:rFonts w:asciiTheme="minorHAnsi" w:hAnsiTheme="minorHAnsi" w:cstheme="minorHAnsi"/>
                <w:sz w:val="18"/>
                <w:szCs w:val="18"/>
              </w:rPr>
              <w:t xml:space="preserve">company at arm’s length to </w:t>
            </w:r>
            <w:r w:rsidR="00FC60EB">
              <w:rPr>
                <w:rFonts w:asciiTheme="minorHAnsi" w:hAnsiTheme="minorHAnsi" w:cstheme="minorHAnsi"/>
                <w:sz w:val="18"/>
                <w:szCs w:val="18"/>
              </w:rPr>
              <w:t>the City</w:t>
            </w:r>
            <w:r w:rsidR="001A22EA">
              <w:rPr>
                <w:rFonts w:asciiTheme="minorHAnsi" w:hAnsiTheme="minorHAnsi" w:cstheme="minorHAnsi"/>
                <w:sz w:val="18"/>
                <w:szCs w:val="18"/>
              </w:rPr>
              <w:t xml:space="preserve"> </w:t>
            </w:r>
            <w:r w:rsidRPr="009135F8">
              <w:rPr>
                <w:rFonts w:asciiTheme="minorHAnsi" w:hAnsiTheme="minorHAnsi" w:cstheme="minorHAnsi"/>
                <w:sz w:val="18"/>
                <w:szCs w:val="18"/>
              </w:rPr>
              <w:t xml:space="preserve">which can provide focused attention on the development if a social housing investment strategy and oversee its implementation </w:t>
            </w:r>
          </w:p>
        </w:tc>
      </w:tr>
    </w:tbl>
    <w:p w14:paraId="0F29B49A" w14:textId="77777777" w:rsidR="00B764FC" w:rsidRDefault="00B764FC"/>
    <w:p w14:paraId="4E022115" w14:textId="77777777" w:rsidR="00B764FC" w:rsidRDefault="00B764FC"/>
    <w:p w14:paraId="42BBF1C1" w14:textId="77777777" w:rsidR="00B764FC" w:rsidRDefault="00B764FC"/>
    <w:p w14:paraId="3F364BC2" w14:textId="77777777" w:rsidR="00B764FC" w:rsidRDefault="00B764FC">
      <w:pPr>
        <w:rPr>
          <w:sz w:val="22"/>
          <w:szCs w:val="22"/>
        </w:rPr>
      </w:pPr>
      <w:r>
        <w:rPr>
          <w:sz w:val="22"/>
          <w:szCs w:val="22"/>
        </w:rPr>
        <w:br w:type="page"/>
      </w:r>
    </w:p>
    <w:p w14:paraId="210538BB" w14:textId="77777777" w:rsidR="00B764FC" w:rsidRPr="00B831C1" w:rsidRDefault="00B764FC">
      <w:pPr>
        <w:pStyle w:val="Heading2"/>
      </w:pPr>
      <w:bookmarkStart w:id="11" w:name="_Toc22120151"/>
      <w:r w:rsidRPr="00B831C1">
        <w:lastRenderedPageBreak/>
        <w:t>1.4 Implementation Plan</w:t>
      </w:r>
      <w:bookmarkEnd w:id="11"/>
    </w:p>
    <w:p w14:paraId="605E1CF2" w14:textId="6E59BFBF" w:rsidR="00B764FC" w:rsidRDefault="00B764FC">
      <w:pPr>
        <w:spacing w:after="240" w:line="276" w:lineRule="auto"/>
        <w:jc w:val="both"/>
        <w:rPr>
          <w:sz w:val="22"/>
          <w:szCs w:val="22"/>
        </w:rPr>
      </w:pPr>
      <w:r>
        <w:rPr>
          <w:sz w:val="22"/>
          <w:szCs w:val="22"/>
        </w:rPr>
        <w:t xml:space="preserve">In order to implement the City of Greater Geelong </w:t>
      </w:r>
      <w:r>
        <w:rPr>
          <w:i/>
          <w:iCs/>
          <w:sz w:val="22"/>
          <w:szCs w:val="22"/>
        </w:rPr>
        <w:t>Social Housing Plan</w:t>
      </w:r>
      <w:r>
        <w:rPr>
          <w:sz w:val="22"/>
          <w:szCs w:val="22"/>
        </w:rPr>
        <w:t xml:space="preserve"> it will be appropriate for </w:t>
      </w:r>
      <w:r w:rsidR="00FC60EB">
        <w:rPr>
          <w:sz w:val="22"/>
          <w:szCs w:val="22"/>
        </w:rPr>
        <w:t xml:space="preserve">the City </w:t>
      </w:r>
      <w:r>
        <w:rPr>
          <w:sz w:val="22"/>
          <w:szCs w:val="22"/>
        </w:rPr>
        <w:t>to commit to the following tasks during 2020-21.</w:t>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712"/>
        <w:gridCol w:w="2052"/>
        <w:gridCol w:w="1794"/>
        <w:gridCol w:w="1673"/>
        <w:gridCol w:w="1785"/>
      </w:tblGrid>
      <w:tr w:rsidR="00B764FC" w14:paraId="45338328" w14:textId="77777777" w:rsidTr="00B831C1">
        <w:trPr>
          <w:tblHeader/>
        </w:trPr>
        <w:tc>
          <w:tcPr>
            <w:tcW w:w="1712" w:type="dxa"/>
            <w:tcBorders>
              <w:left w:val="nil"/>
              <w:right w:val="nil"/>
            </w:tcBorders>
            <w:shd w:val="clear" w:color="auto" w:fill="002060"/>
            <w:vAlign w:val="center"/>
          </w:tcPr>
          <w:p w14:paraId="158966E7" w14:textId="77777777" w:rsidR="00B764FC" w:rsidRDefault="00B764FC">
            <w:pPr>
              <w:rPr>
                <w:b/>
                <w:bCs/>
                <w:color w:val="FFFFFF"/>
                <w:sz w:val="20"/>
                <w:szCs w:val="20"/>
              </w:rPr>
            </w:pPr>
            <w:r>
              <w:rPr>
                <w:b/>
                <w:bCs/>
                <w:color w:val="FFFFFF"/>
                <w:sz w:val="20"/>
                <w:szCs w:val="20"/>
              </w:rPr>
              <w:t>Strategy</w:t>
            </w:r>
          </w:p>
        </w:tc>
        <w:tc>
          <w:tcPr>
            <w:tcW w:w="2052" w:type="dxa"/>
            <w:tcBorders>
              <w:left w:val="nil"/>
              <w:right w:val="nil"/>
            </w:tcBorders>
            <w:shd w:val="clear" w:color="auto" w:fill="002060"/>
            <w:vAlign w:val="center"/>
          </w:tcPr>
          <w:p w14:paraId="533D707A" w14:textId="77777777" w:rsidR="00B764FC" w:rsidRDefault="00B764FC">
            <w:pPr>
              <w:rPr>
                <w:b/>
                <w:bCs/>
                <w:color w:val="FFFFFF"/>
                <w:sz w:val="20"/>
                <w:szCs w:val="20"/>
              </w:rPr>
            </w:pPr>
            <w:r>
              <w:rPr>
                <w:b/>
                <w:bCs/>
                <w:color w:val="FFFFFF"/>
                <w:sz w:val="20"/>
                <w:szCs w:val="20"/>
              </w:rPr>
              <w:t>Tasks</w:t>
            </w:r>
          </w:p>
        </w:tc>
        <w:tc>
          <w:tcPr>
            <w:tcW w:w="1794" w:type="dxa"/>
            <w:tcBorders>
              <w:left w:val="nil"/>
              <w:right w:val="nil"/>
            </w:tcBorders>
            <w:shd w:val="clear" w:color="auto" w:fill="002060"/>
            <w:vAlign w:val="center"/>
          </w:tcPr>
          <w:p w14:paraId="7710D9E0" w14:textId="77777777" w:rsidR="00B764FC" w:rsidRDefault="00B764FC">
            <w:pPr>
              <w:rPr>
                <w:b/>
                <w:bCs/>
                <w:color w:val="FFFFFF"/>
                <w:sz w:val="20"/>
                <w:szCs w:val="20"/>
              </w:rPr>
            </w:pPr>
            <w:r>
              <w:rPr>
                <w:b/>
                <w:bCs/>
                <w:color w:val="FFFFFF"/>
                <w:sz w:val="20"/>
                <w:szCs w:val="20"/>
              </w:rPr>
              <w:t>Outcomes</w:t>
            </w:r>
          </w:p>
        </w:tc>
        <w:tc>
          <w:tcPr>
            <w:tcW w:w="1673" w:type="dxa"/>
            <w:tcBorders>
              <w:left w:val="nil"/>
              <w:right w:val="nil"/>
            </w:tcBorders>
            <w:shd w:val="clear" w:color="auto" w:fill="002060"/>
            <w:vAlign w:val="center"/>
          </w:tcPr>
          <w:p w14:paraId="5C83533F" w14:textId="77777777" w:rsidR="00B764FC" w:rsidRDefault="00B764FC">
            <w:pPr>
              <w:rPr>
                <w:b/>
                <w:bCs/>
                <w:color w:val="FFFFFF"/>
                <w:sz w:val="20"/>
                <w:szCs w:val="20"/>
              </w:rPr>
            </w:pPr>
            <w:r>
              <w:rPr>
                <w:b/>
                <w:bCs/>
                <w:color w:val="FFFFFF"/>
                <w:sz w:val="20"/>
                <w:szCs w:val="20"/>
              </w:rPr>
              <w:t>Resources</w:t>
            </w:r>
          </w:p>
        </w:tc>
        <w:tc>
          <w:tcPr>
            <w:tcW w:w="1785" w:type="dxa"/>
            <w:tcBorders>
              <w:left w:val="nil"/>
              <w:right w:val="nil"/>
            </w:tcBorders>
            <w:shd w:val="clear" w:color="auto" w:fill="002060"/>
            <w:vAlign w:val="center"/>
          </w:tcPr>
          <w:p w14:paraId="351D6EE1" w14:textId="77777777" w:rsidR="00B764FC" w:rsidRDefault="00B764FC">
            <w:pPr>
              <w:rPr>
                <w:b/>
                <w:bCs/>
                <w:color w:val="FFFFFF"/>
                <w:sz w:val="20"/>
                <w:szCs w:val="20"/>
              </w:rPr>
            </w:pPr>
            <w:r>
              <w:rPr>
                <w:b/>
                <w:bCs/>
                <w:color w:val="FFFFFF"/>
                <w:sz w:val="20"/>
                <w:szCs w:val="20"/>
              </w:rPr>
              <w:t>Responsibility</w:t>
            </w:r>
          </w:p>
        </w:tc>
      </w:tr>
      <w:tr w:rsidR="00B764FC" w14:paraId="4E1F3CA9" w14:textId="77777777">
        <w:trPr>
          <w:cantSplit/>
        </w:trPr>
        <w:tc>
          <w:tcPr>
            <w:tcW w:w="1712" w:type="dxa"/>
            <w:vMerge w:val="restart"/>
            <w:tcBorders>
              <w:left w:val="nil"/>
              <w:right w:val="nil"/>
            </w:tcBorders>
            <w:vAlign w:val="center"/>
          </w:tcPr>
          <w:p w14:paraId="643B7211" w14:textId="77777777" w:rsidR="00B764FC" w:rsidRDefault="00B764FC">
            <w:pPr>
              <w:rPr>
                <w:b/>
                <w:bCs/>
                <w:sz w:val="20"/>
                <w:szCs w:val="20"/>
              </w:rPr>
            </w:pPr>
            <w:r>
              <w:rPr>
                <w:b/>
                <w:bCs/>
                <w:sz w:val="20"/>
                <w:szCs w:val="20"/>
              </w:rPr>
              <w:t>Leadership</w:t>
            </w:r>
          </w:p>
        </w:tc>
        <w:tc>
          <w:tcPr>
            <w:tcW w:w="2052" w:type="dxa"/>
            <w:tcBorders>
              <w:left w:val="nil"/>
              <w:right w:val="nil"/>
            </w:tcBorders>
            <w:vAlign w:val="center"/>
          </w:tcPr>
          <w:p w14:paraId="5793DC87" w14:textId="77777777" w:rsidR="00B764FC" w:rsidRDefault="00B764FC">
            <w:pPr>
              <w:rPr>
                <w:sz w:val="20"/>
                <w:szCs w:val="20"/>
              </w:rPr>
            </w:pPr>
            <w:r>
              <w:rPr>
                <w:sz w:val="20"/>
                <w:szCs w:val="20"/>
              </w:rPr>
              <w:t>Identify suitable persons and invite them to form the Affordable Housing Advisory Committee</w:t>
            </w:r>
          </w:p>
        </w:tc>
        <w:tc>
          <w:tcPr>
            <w:tcW w:w="1794" w:type="dxa"/>
            <w:tcBorders>
              <w:left w:val="nil"/>
              <w:right w:val="nil"/>
            </w:tcBorders>
            <w:vAlign w:val="center"/>
          </w:tcPr>
          <w:p w14:paraId="5E800587" w14:textId="041DFBA0" w:rsidR="00B764FC" w:rsidRDefault="00B764FC">
            <w:pPr>
              <w:rPr>
                <w:sz w:val="20"/>
                <w:szCs w:val="20"/>
              </w:rPr>
            </w:pPr>
            <w:r>
              <w:rPr>
                <w:sz w:val="20"/>
                <w:szCs w:val="20"/>
              </w:rPr>
              <w:t xml:space="preserve">Establishment of key advisory body for </w:t>
            </w:r>
            <w:r w:rsidR="00FC60EB">
              <w:rPr>
                <w:sz w:val="20"/>
                <w:szCs w:val="20"/>
              </w:rPr>
              <w:t>the City</w:t>
            </w:r>
          </w:p>
        </w:tc>
        <w:tc>
          <w:tcPr>
            <w:tcW w:w="1673" w:type="dxa"/>
            <w:tcBorders>
              <w:left w:val="nil"/>
              <w:right w:val="nil"/>
            </w:tcBorders>
            <w:vAlign w:val="center"/>
          </w:tcPr>
          <w:p w14:paraId="7060E7C1" w14:textId="77777777" w:rsidR="00B764FC" w:rsidRDefault="00B764FC">
            <w:pPr>
              <w:rPr>
                <w:sz w:val="20"/>
                <w:szCs w:val="20"/>
              </w:rPr>
            </w:pPr>
            <w:r>
              <w:rPr>
                <w:sz w:val="20"/>
                <w:szCs w:val="20"/>
              </w:rPr>
              <w:t>Nil</w:t>
            </w:r>
          </w:p>
        </w:tc>
        <w:tc>
          <w:tcPr>
            <w:tcW w:w="1785" w:type="dxa"/>
            <w:tcBorders>
              <w:left w:val="nil"/>
              <w:right w:val="nil"/>
            </w:tcBorders>
            <w:vAlign w:val="center"/>
          </w:tcPr>
          <w:p w14:paraId="50A7BD8A" w14:textId="7DC5FEC4" w:rsidR="00B764FC" w:rsidRDefault="006829EA">
            <w:pPr>
              <w:rPr>
                <w:sz w:val="20"/>
                <w:szCs w:val="20"/>
              </w:rPr>
            </w:pPr>
            <w:r>
              <w:rPr>
                <w:sz w:val="20"/>
                <w:szCs w:val="20"/>
              </w:rPr>
              <w:t>Governance, Strategy &amp; Performance</w:t>
            </w:r>
          </w:p>
        </w:tc>
      </w:tr>
      <w:tr w:rsidR="00B764FC" w14:paraId="02AB38D0" w14:textId="77777777">
        <w:trPr>
          <w:cantSplit/>
        </w:trPr>
        <w:tc>
          <w:tcPr>
            <w:tcW w:w="1712" w:type="dxa"/>
            <w:vMerge/>
            <w:tcBorders>
              <w:left w:val="nil"/>
              <w:right w:val="nil"/>
            </w:tcBorders>
            <w:vAlign w:val="center"/>
          </w:tcPr>
          <w:p w14:paraId="1F66FDF5" w14:textId="77777777" w:rsidR="00B764FC" w:rsidRDefault="00B764FC">
            <w:pPr>
              <w:rPr>
                <w:b/>
                <w:bCs/>
                <w:sz w:val="20"/>
                <w:szCs w:val="20"/>
              </w:rPr>
            </w:pPr>
          </w:p>
        </w:tc>
        <w:tc>
          <w:tcPr>
            <w:tcW w:w="2052" w:type="dxa"/>
            <w:tcBorders>
              <w:left w:val="nil"/>
              <w:right w:val="nil"/>
            </w:tcBorders>
            <w:vAlign w:val="center"/>
          </w:tcPr>
          <w:p w14:paraId="4D295C52" w14:textId="01992527" w:rsidR="00B764FC" w:rsidRDefault="00B764FC">
            <w:pPr>
              <w:rPr>
                <w:sz w:val="20"/>
                <w:szCs w:val="20"/>
              </w:rPr>
            </w:pPr>
            <w:r>
              <w:rPr>
                <w:sz w:val="20"/>
                <w:szCs w:val="20"/>
              </w:rPr>
              <w:t>Commission a Social Housing Communications Strategy for consideration and sign off by Advisory Committee</w:t>
            </w:r>
          </w:p>
        </w:tc>
        <w:tc>
          <w:tcPr>
            <w:tcW w:w="1794" w:type="dxa"/>
            <w:tcBorders>
              <w:left w:val="nil"/>
              <w:right w:val="nil"/>
            </w:tcBorders>
            <w:vAlign w:val="center"/>
          </w:tcPr>
          <w:p w14:paraId="46C79818" w14:textId="0B5E8607" w:rsidR="00B764FC" w:rsidRDefault="00B764FC">
            <w:pPr>
              <w:rPr>
                <w:sz w:val="20"/>
                <w:szCs w:val="20"/>
              </w:rPr>
            </w:pPr>
            <w:r>
              <w:rPr>
                <w:sz w:val="20"/>
                <w:szCs w:val="20"/>
              </w:rPr>
              <w:t>Agreed strategy for promoting the benefits of Social Housing and</w:t>
            </w:r>
            <w:r w:rsidR="00FC60EB">
              <w:rPr>
                <w:sz w:val="20"/>
                <w:szCs w:val="20"/>
              </w:rPr>
              <w:t xml:space="preserve"> the City</w:t>
            </w:r>
            <w:r w:rsidR="009135F8">
              <w:rPr>
                <w:sz w:val="20"/>
                <w:szCs w:val="20"/>
              </w:rPr>
              <w:t>’</w:t>
            </w:r>
            <w:r w:rsidR="00FC60EB">
              <w:rPr>
                <w:sz w:val="20"/>
                <w:szCs w:val="20"/>
              </w:rPr>
              <w:t xml:space="preserve">s </w:t>
            </w:r>
            <w:r>
              <w:rPr>
                <w:sz w:val="20"/>
                <w:szCs w:val="20"/>
              </w:rPr>
              <w:t>Social Housing Plan</w:t>
            </w:r>
          </w:p>
        </w:tc>
        <w:tc>
          <w:tcPr>
            <w:tcW w:w="1673" w:type="dxa"/>
            <w:tcBorders>
              <w:left w:val="nil"/>
              <w:right w:val="nil"/>
            </w:tcBorders>
            <w:vAlign w:val="center"/>
          </w:tcPr>
          <w:p w14:paraId="7222B68B" w14:textId="77777777" w:rsidR="00B764FC" w:rsidRDefault="00B764FC">
            <w:pPr>
              <w:rPr>
                <w:sz w:val="20"/>
                <w:szCs w:val="20"/>
              </w:rPr>
            </w:pPr>
            <w:r>
              <w:rPr>
                <w:sz w:val="20"/>
                <w:szCs w:val="20"/>
              </w:rPr>
              <w:t>$20,000</w:t>
            </w:r>
          </w:p>
        </w:tc>
        <w:tc>
          <w:tcPr>
            <w:tcW w:w="1785" w:type="dxa"/>
            <w:tcBorders>
              <w:left w:val="nil"/>
              <w:right w:val="nil"/>
            </w:tcBorders>
            <w:vAlign w:val="center"/>
          </w:tcPr>
          <w:p w14:paraId="38C1ECEE" w14:textId="77777777" w:rsidR="00B764FC" w:rsidRDefault="00B764FC">
            <w:pPr>
              <w:rPr>
                <w:sz w:val="20"/>
                <w:szCs w:val="20"/>
              </w:rPr>
            </w:pPr>
            <w:r>
              <w:rPr>
                <w:sz w:val="20"/>
                <w:szCs w:val="20"/>
              </w:rPr>
              <w:t>Governance, Strategy &amp; Performance</w:t>
            </w:r>
          </w:p>
        </w:tc>
      </w:tr>
      <w:tr w:rsidR="00B764FC" w14:paraId="373ABE50" w14:textId="77777777" w:rsidTr="003247FA">
        <w:trPr>
          <w:cantSplit/>
        </w:trPr>
        <w:tc>
          <w:tcPr>
            <w:tcW w:w="1712" w:type="dxa"/>
            <w:vMerge w:val="restart"/>
            <w:tcBorders>
              <w:left w:val="nil"/>
              <w:right w:val="nil"/>
            </w:tcBorders>
            <w:shd w:val="clear" w:color="auto" w:fill="F2F2F2" w:themeFill="background1" w:themeFillShade="F2"/>
            <w:vAlign w:val="center"/>
          </w:tcPr>
          <w:p w14:paraId="7DAF2893" w14:textId="77777777" w:rsidR="00B764FC" w:rsidRDefault="00B764FC">
            <w:pPr>
              <w:rPr>
                <w:b/>
                <w:bCs/>
                <w:sz w:val="20"/>
                <w:szCs w:val="20"/>
              </w:rPr>
            </w:pPr>
            <w:r>
              <w:rPr>
                <w:b/>
                <w:bCs/>
                <w:sz w:val="20"/>
                <w:szCs w:val="20"/>
              </w:rPr>
              <w:t>Investment</w:t>
            </w:r>
          </w:p>
        </w:tc>
        <w:tc>
          <w:tcPr>
            <w:tcW w:w="2052" w:type="dxa"/>
            <w:tcBorders>
              <w:left w:val="nil"/>
              <w:right w:val="nil"/>
            </w:tcBorders>
            <w:shd w:val="clear" w:color="auto" w:fill="F2F2F2" w:themeFill="background1" w:themeFillShade="F2"/>
            <w:vAlign w:val="center"/>
          </w:tcPr>
          <w:p w14:paraId="43B48544" w14:textId="77777777" w:rsidR="00B764FC" w:rsidRDefault="00B764FC">
            <w:pPr>
              <w:rPr>
                <w:sz w:val="20"/>
                <w:szCs w:val="20"/>
              </w:rPr>
            </w:pPr>
            <w:r>
              <w:rPr>
                <w:sz w:val="20"/>
                <w:szCs w:val="20"/>
              </w:rPr>
              <w:t xml:space="preserve">Identify 2 Council owned sites for Social Housing demonstration projects </w:t>
            </w:r>
          </w:p>
        </w:tc>
        <w:tc>
          <w:tcPr>
            <w:tcW w:w="1794" w:type="dxa"/>
            <w:tcBorders>
              <w:left w:val="nil"/>
              <w:right w:val="nil"/>
            </w:tcBorders>
            <w:shd w:val="clear" w:color="auto" w:fill="F2F2F2" w:themeFill="background1" w:themeFillShade="F2"/>
            <w:vAlign w:val="center"/>
          </w:tcPr>
          <w:p w14:paraId="7F6967D4" w14:textId="77777777" w:rsidR="00B764FC" w:rsidRDefault="00B764FC">
            <w:pPr>
              <w:rPr>
                <w:sz w:val="20"/>
                <w:szCs w:val="20"/>
              </w:rPr>
            </w:pPr>
            <w:r>
              <w:rPr>
                <w:sz w:val="20"/>
                <w:szCs w:val="20"/>
              </w:rPr>
              <w:t>Council resolution to develop sites as Social Housing</w:t>
            </w:r>
          </w:p>
        </w:tc>
        <w:tc>
          <w:tcPr>
            <w:tcW w:w="1673" w:type="dxa"/>
            <w:tcBorders>
              <w:left w:val="nil"/>
              <w:right w:val="nil"/>
            </w:tcBorders>
            <w:shd w:val="clear" w:color="auto" w:fill="F2F2F2" w:themeFill="background1" w:themeFillShade="F2"/>
            <w:vAlign w:val="center"/>
          </w:tcPr>
          <w:p w14:paraId="09C11FF6" w14:textId="77777777" w:rsidR="00B764FC" w:rsidRDefault="00B764FC">
            <w:pPr>
              <w:rPr>
                <w:sz w:val="20"/>
                <w:szCs w:val="20"/>
              </w:rPr>
            </w:pPr>
            <w:r>
              <w:rPr>
                <w:sz w:val="20"/>
                <w:szCs w:val="20"/>
              </w:rPr>
              <w:t>Value of sites</w:t>
            </w:r>
          </w:p>
        </w:tc>
        <w:tc>
          <w:tcPr>
            <w:tcW w:w="1785" w:type="dxa"/>
            <w:tcBorders>
              <w:left w:val="nil"/>
              <w:right w:val="nil"/>
            </w:tcBorders>
            <w:shd w:val="clear" w:color="auto" w:fill="F2F2F2" w:themeFill="background1" w:themeFillShade="F2"/>
            <w:vAlign w:val="center"/>
          </w:tcPr>
          <w:p w14:paraId="50F3E23A" w14:textId="77777777" w:rsidR="00B764FC" w:rsidRDefault="00B764FC">
            <w:pPr>
              <w:rPr>
                <w:sz w:val="20"/>
                <w:szCs w:val="20"/>
              </w:rPr>
            </w:pPr>
            <w:r>
              <w:rPr>
                <w:sz w:val="20"/>
                <w:szCs w:val="20"/>
              </w:rPr>
              <w:t>Planning, Design &amp; Development</w:t>
            </w:r>
          </w:p>
        </w:tc>
      </w:tr>
      <w:tr w:rsidR="00B764FC" w14:paraId="0C17A71B" w14:textId="77777777" w:rsidTr="003247FA">
        <w:trPr>
          <w:cantSplit/>
        </w:trPr>
        <w:tc>
          <w:tcPr>
            <w:tcW w:w="1712" w:type="dxa"/>
            <w:vMerge/>
            <w:tcBorders>
              <w:left w:val="nil"/>
              <w:right w:val="nil"/>
            </w:tcBorders>
            <w:shd w:val="clear" w:color="auto" w:fill="F2F2F2" w:themeFill="background1" w:themeFillShade="F2"/>
            <w:vAlign w:val="center"/>
          </w:tcPr>
          <w:p w14:paraId="63A3C479" w14:textId="77777777" w:rsidR="00B764FC" w:rsidRDefault="00B764FC">
            <w:pPr>
              <w:rPr>
                <w:b/>
                <w:bCs/>
                <w:sz w:val="20"/>
                <w:szCs w:val="20"/>
              </w:rPr>
            </w:pPr>
          </w:p>
        </w:tc>
        <w:tc>
          <w:tcPr>
            <w:tcW w:w="2052" w:type="dxa"/>
            <w:tcBorders>
              <w:left w:val="nil"/>
              <w:right w:val="nil"/>
            </w:tcBorders>
            <w:shd w:val="clear" w:color="auto" w:fill="F2F2F2" w:themeFill="background1" w:themeFillShade="F2"/>
            <w:vAlign w:val="center"/>
          </w:tcPr>
          <w:p w14:paraId="1CB545C1" w14:textId="77777777" w:rsidR="00B764FC" w:rsidRDefault="00B764FC">
            <w:pPr>
              <w:rPr>
                <w:sz w:val="20"/>
                <w:szCs w:val="20"/>
              </w:rPr>
            </w:pPr>
            <w:r>
              <w:rPr>
                <w:sz w:val="20"/>
                <w:szCs w:val="20"/>
              </w:rPr>
              <w:t>Commission feasibility studies on the development of the sites</w:t>
            </w:r>
          </w:p>
        </w:tc>
        <w:tc>
          <w:tcPr>
            <w:tcW w:w="1794" w:type="dxa"/>
            <w:tcBorders>
              <w:left w:val="nil"/>
              <w:right w:val="nil"/>
            </w:tcBorders>
            <w:shd w:val="clear" w:color="auto" w:fill="F2F2F2" w:themeFill="background1" w:themeFillShade="F2"/>
            <w:vAlign w:val="center"/>
          </w:tcPr>
          <w:p w14:paraId="7141B0E3" w14:textId="77777777" w:rsidR="00B764FC" w:rsidRDefault="00B764FC">
            <w:pPr>
              <w:rPr>
                <w:sz w:val="20"/>
                <w:szCs w:val="20"/>
              </w:rPr>
            </w:pPr>
            <w:r>
              <w:rPr>
                <w:sz w:val="20"/>
                <w:szCs w:val="20"/>
              </w:rPr>
              <w:t xml:space="preserve">Documented good practice development model and identification of finance and subsidies required to develop </w:t>
            </w:r>
          </w:p>
        </w:tc>
        <w:tc>
          <w:tcPr>
            <w:tcW w:w="1673" w:type="dxa"/>
            <w:tcBorders>
              <w:left w:val="nil"/>
              <w:right w:val="nil"/>
            </w:tcBorders>
            <w:shd w:val="clear" w:color="auto" w:fill="F2F2F2" w:themeFill="background1" w:themeFillShade="F2"/>
            <w:vAlign w:val="center"/>
          </w:tcPr>
          <w:p w14:paraId="002BE204" w14:textId="77777777" w:rsidR="00B764FC" w:rsidRDefault="00B764FC">
            <w:pPr>
              <w:rPr>
                <w:sz w:val="20"/>
                <w:szCs w:val="20"/>
              </w:rPr>
            </w:pPr>
            <w:r>
              <w:rPr>
                <w:sz w:val="20"/>
                <w:szCs w:val="20"/>
              </w:rPr>
              <w:t>$100,000</w:t>
            </w:r>
          </w:p>
        </w:tc>
        <w:tc>
          <w:tcPr>
            <w:tcW w:w="1785" w:type="dxa"/>
            <w:tcBorders>
              <w:left w:val="nil"/>
              <w:right w:val="nil"/>
            </w:tcBorders>
            <w:shd w:val="clear" w:color="auto" w:fill="F2F2F2" w:themeFill="background1" w:themeFillShade="F2"/>
            <w:vAlign w:val="center"/>
          </w:tcPr>
          <w:p w14:paraId="2E8A5625" w14:textId="77777777" w:rsidR="00B764FC" w:rsidRDefault="00B764FC">
            <w:pPr>
              <w:rPr>
                <w:sz w:val="20"/>
                <w:szCs w:val="20"/>
              </w:rPr>
            </w:pPr>
            <w:r>
              <w:rPr>
                <w:sz w:val="20"/>
                <w:szCs w:val="20"/>
              </w:rPr>
              <w:t>Customer &amp; Corporate services</w:t>
            </w:r>
          </w:p>
        </w:tc>
      </w:tr>
      <w:tr w:rsidR="00B764FC" w14:paraId="5379ECA0" w14:textId="77777777">
        <w:trPr>
          <w:cantSplit/>
        </w:trPr>
        <w:tc>
          <w:tcPr>
            <w:tcW w:w="1712" w:type="dxa"/>
            <w:vMerge w:val="restart"/>
            <w:tcBorders>
              <w:left w:val="nil"/>
              <w:right w:val="nil"/>
            </w:tcBorders>
            <w:vAlign w:val="center"/>
          </w:tcPr>
          <w:p w14:paraId="02727A9F" w14:textId="77777777" w:rsidR="00B764FC" w:rsidRDefault="00B764FC">
            <w:pPr>
              <w:rPr>
                <w:b/>
                <w:bCs/>
                <w:sz w:val="20"/>
                <w:szCs w:val="20"/>
              </w:rPr>
            </w:pPr>
            <w:r>
              <w:rPr>
                <w:b/>
                <w:bCs/>
                <w:sz w:val="20"/>
                <w:szCs w:val="20"/>
              </w:rPr>
              <w:t>Planning</w:t>
            </w:r>
          </w:p>
        </w:tc>
        <w:tc>
          <w:tcPr>
            <w:tcW w:w="2052" w:type="dxa"/>
            <w:tcBorders>
              <w:left w:val="nil"/>
              <w:right w:val="nil"/>
            </w:tcBorders>
            <w:vAlign w:val="center"/>
          </w:tcPr>
          <w:p w14:paraId="7CD6E7FF" w14:textId="435122A4" w:rsidR="00B764FC" w:rsidRDefault="00BB277C">
            <w:pPr>
              <w:rPr>
                <w:sz w:val="20"/>
                <w:szCs w:val="20"/>
              </w:rPr>
            </w:pPr>
            <w:r>
              <w:rPr>
                <w:sz w:val="20"/>
                <w:szCs w:val="20"/>
              </w:rPr>
              <w:t>Social and Affordable Housing Assessments</w:t>
            </w:r>
          </w:p>
        </w:tc>
        <w:tc>
          <w:tcPr>
            <w:tcW w:w="1794" w:type="dxa"/>
            <w:tcBorders>
              <w:left w:val="nil"/>
              <w:right w:val="nil"/>
            </w:tcBorders>
            <w:vAlign w:val="center"/>
          </w:tcPr>
          <w:p w14:paraId="5B8F115B" w14:textId="27D7095B" w:rsidR="00B764FC" w:rsidRDefault="00BB277C">
            <w:pPr>
              <w:rPr>
                <w:sz w:val="20"/>
                <w:szCs w:val="20"/>
              </w:rPr>
            </w:pPr>
            <w:r>
              <w:rPr>
                <w:sz w:val="20"/>
                <w:szCs w:val="20"/>
              </w:rPr>
              <w:t>Social and Affordable Housing Assessment is prepared as part of Council initiated rezoning or PSP</w:t>
            </w:r>
          </w:p>
        </w:tc>
        <w:tc>
          <w:tcPr>
            <w:tcW w:w="1673" w:type="dxa"/>
            <w:tcBorders>
              <w:left w:val="nil"/>
              <w:right w:val="nil"/>
            </w:tcBorders>
            <w:vAlign w:val="center"/>
          </w:tcPr>
          <w:p w14:paraId="1A99BA3C" w14:textId="0F724999" w:rsidR="00B764FC" w:rsidRDefault="00BB277C">
            <w:pPr>
              <w:rPr>
                <w:sz w:val="20"/>
                <w:szCs w:val="20"/>
              </w:rPr>
            </w:pPr>
            <w:r>
              <w:rPr>
                <w:sz w:val="20"/>
                <w:szCs w:val="20"/>
              </w:rPr>
              <w:t>Within Project Budget</w:t>
            </w:r>
          </w:p>
        </w:tc>
        <w:tc>
          <w:tcPr>
            <w:tcW w:w="1785" w:type="dxa"/>
            <w:tcBorders>
              <w:left w:val="nil"/>
              <w:right w:val="nil"/>
            </w:tcBorders>
            <w:vAlign w:val="center"/>
          </w:tcPr>
          <w:p w14:paraId="168A5209" w14:textId="77777777" w:rsidR="00B764FC" w:rsidRDefault="00B764FC">
            <w:pPr>
              <w:rPr>
                <w:sz w:val="20"/>
                <w:szCs w:val="20"/>
              </w:rPr>
            </w:pPr>
            <w:r>
              <w:rPr>
                <w:sz w:val="20"/>
                <w:szCs w:val="20"/>
              </w:rPr>
              <w:t>Planning, Design &amp; Development</w:t>
            </w:r>
          </w:p>
        </w:tc>
      </w:tr>
      <w:tr w:rsidR="00B764FC" w14:paraId="7A1A5E25" w14:textId="77777777">
        <w:trPr>
          <w:cantSplit/>
        </w:trPr>
        <w:tc>
          <w:tcPr>
            <w:tcW w:w="1712" w:type="dxa"/>
            <w:vMerge/>
            <w:tcBorders>
              <w:left w:val="nil"/>
              <w:right w:val="nil"/>
            </w:tcBorders>
            <w:vAlign w:val="center"/>
          </w:tcPr>
          <w:p w14:paraId="0777894D" w14:textId="77777777" w:rsidR="00B764FC" w:rsidRDefault="00B764FC">
            <w:pPr>
              <w:rPr>
                <w:b/>
                <w:bCs/>
                <w:sz w:val="20"/>
                <w:szCs w:val="20"/>
              </w:rPr>
            </w:pPr>
          </w:p>
        </w:tc>
        <w:tc>
          <w:tcPr>
            <w:tcW w:w="2052" w:type="dxa"/>
            <w:tcBorders>
              <w:left w:val="nil"/>
              <w:right w:val="nil"/>
            </w:tcBorders>
            <w:vAlign w:val="center"/>
          </w:tcPr>
          <w:p w14:paraId="0FDAF3EA" w14:textId="4BBE413F" w:rsidR="00B764FC" w:rsidRDefault="00BB277C" w:rsidP="00BB277C">
            <w:pPr>
              <w:rPr>
                <w:sz w:val="20"/>
                <w:szCs w:val="20"/>
              </w:rPr>
            </w:pPr>
            <w:r>
              <w:rPr>
                <w:sz w:val="20"/>
                <w:szCs w:val="20"/>
              </w:rPr>
              <w:t>Amendment</w:t>
            </w:r>
            <w:r w:rsidR="00B764FC">
              <w:rPr>
                <w:sz w:val="20"/>
                <w:szCs w:val="20"/>
              </w:rPr>
              <w:t xml:space="preserve"> to Planning Scheme</w:t>
            </w:r>
          </w:p>
        </w:tc>
        <w:tc>
          <w:tcPr>
            <w:tcW w:w="1794" w:type="dxa"/>
            <w:tcBorders>
              <w:left w:val="nil"/>
              <w:right w:val="nil"/>
            </w:tcBorders>
            <w:vAlign w:val="center"/>
          </w:tcPr>
          <w:p w14:paraId="5DCC2089" w14:textId="06CF16D9" w:rsidR="00B764FC" w:rsidRDefault="00B764FC" w:rsidP="00BB277C">
            <w:pPr>
              <w:rPr>
                <w:sz w:val="20"/>
                <w:szCs w:val="20"/>
              </w:rPr>
            </w:pPr>
            <w:r>
              <w:rPr>
                <w:sz w:val="20"/>
                <w:szCs w:val="20"/>
              </w:rPr>
              <w:t>Planning Scheme articulates the intent of the Social Housing</w:t>
            </w:r>
            <w:r w:rsidR="00BB277C">
              <w:rPr>
                <w:sz w:val="20"/>
                <w:szCs w:val="20"/>
              </w:rPr>
              <w:t xml:space="preserve"> Plan</w:t>
            </w:r>
          </w:p>
        </w:tc>
        <w:tc>
          <w:tcPr>
            <w:tcW w:w="1673" w:type="dxa"/>
            <w:tcBorders>
              <w:left w:val="nil"/>
              <w:right w:val="nil"/>
            </w:tcBorders>
            <w:vAlign w:val="center"/>
          </w:tcPr>
          <w:p w14:paraId="7B092160" w14:textId="77777777" w:rsidR="00B764FC" w:rsidRDefault="00B764FC">
            <w:pPr>
              <w:rPr>
                <w:sz w:val="20"/>
                <w:szCs w:val="20"/>
              </w:rPr>
            </w:pPr>
            <w:r>
              <w:rPr>
                <w:sz w:val="20"/>
                <w:szCs w:val="20"/>
              </w:rPr>
              <w:t>Existing</w:t>
            </w:r>
          </w:p>
        </w:tc>
        <w:tc>
          <w:tcPr>
            <w:tcW w:w="1785" w:type="dxa"/>
            <w:tcBorders>
              <w:left w:val="nil"/>
              <w:right w:val="nil"/>
            </w:tcBorders>
            <w:vAlign w:val="center"/>
          </w:tcPr>
          <w:p w14:paraId="28525883" w14:textId="77777777" w:rsidR="00B764FC" w:rsidRDefault="00B764FC">
            <w:pPr>
              <w:rPr>
                <w:sz w:val="20"/>
                <w:szCs w:val="20"/>
              </w:rPr>
            </w:pPr>
            <w:r>
              <w:rPr>
                <w:sz w:val="20"/>
                <w:szCs w:val="20"/>
              </w:rPr>
              <w:t>Planning, Design &amp; Development</w:t>
            </w:r>
          </w:p>
        </w:tc>
      </w:tr>
      <w:tr w:rsidR="00B764FC" w14:paraId="389430DC" w14:textId="77777777" w:rsidTr="003247FA">
        <w:trPr>
          <w:cantSplit/>
        </w:trPr>
        <w:tc>
          <w:tcPr>
            <w:tcW w:w="1712" w:type="dxa"/>
            <w:vMerge w:val="restart"/>
            <w:tcBorders>
              <w:left w:val="nil"/>
              <w:right w:val="nil"/>
            </w:tcBorders>
            <w:shd w:val="clear" w:color="auto" w:fill="F2F2F2" w:themeFill="background1" w:themeFillShade="F2"/>
            <w:vAlign w:val="center"/>
          </w:tcPr>
          <w:p w14:paraId="609AB95C" w14:textId="77777777" w:rsidR="00B764FC" w:rsidRDefault="00B764FC">
            <w:pPr>
              <w:rPr>
                <w:b/>
                <w:bCs/>
                <w:sz w:val="20"/>
                <w:szCs w:val="20"/>
              </w:rPr>
            </w:pPr>
            <w:r>
              <w:rPr>
                <w:b/>
                <w:bCs/>
                <w:sz w:val="20"/>
                <w:szCs w:val="20"/>
              </w:rPr>
              <w:t>Partnership</w:t>
            </w:r>
          </w:p>
        </w:tc>
        <w:tc>
          <w:tcPr>
            <w:tcW w:w="2052" w:type="dxa"/>
            <w:tcBorders>
              <w:left w:val="nil"/>
              <w:right w:val="nil"/>
            </w:tcBorders>
            <w:shd w:val="clear" w:color="auto" w:fill="F2F2F2" w:themeFill="background1" w:themeFillShade="F2"/>
            <w:vAlign w:val="center"/>
          </w:tcPr>
          <w:p w14:paraId="2AC5EB72" w14:textId="77777777" w:rsidR="00B764FC" w:rsidRDefault="00B764FC">
            <w:pPr>
              <w:rPr>
                <w:sz w:val="20"/>
                <w:szCs w:val="20"/>
              </w:rPr>
            </w:pPr>
            <w:r>
              <w:rPr>
                <w:sz w:val="20"/>
                <w:szCs w:val="20"/>
              </w:rPr>
              <w:t>Meet with Minister for Housing &amp; Planning to discuss Social Housing Plan and Council’s goal for Social Housing Agreement with Victorian government</w:t>
            </w:r>
          </w:p>
        </w:tc>
        <w:tc>
          <w:tcPr>
            <w:tcW w:w="1794" w:type="dxa"/>
            <w:tcBorders>
              <w:left w:val="nil"/>
              <w:right w:val="nil"/>
            </w:tcBorders>
            <w:shd w:val="clear" w:color="auto" w:fill="F2F2F2" w:themeFill="background1" w:themeFillShade="F2"/>
            <w:vAlign w:val="center"/>
          </w:tcPr>
          <w:p w14:paraId="05E632E8" w14:textId="77777777" w:rsidR="00B764FC" w:rsidRDefault="00B764FC">
            <w:pPr>
              <w:rPr>
                <w:sz w:val="20"/>
                <w:szCs w:val="20"/>
              </w:rPr>
            </w:pPr>
            <w:r>
              <w:rPr>
                <w:sz w:val="20"/>
                <w:szCs w:val="20"/>
              </w:rPr>
              <w:t>Ministerial in-principle support for a partnership Agreement on growing social housing (including redevelopment of existing public housing).</w:t>
            </w:r>
          </w:p>
        </w:tc>
        <w:tc>
          <w:tcPr>
            <w:tcW w:w="1673" w:type="dxa"/>
            <w:tcBorders>
              <w:left w:val="nil"/>
              <w:right w:val="nil"/>
            </w:tcBorders>
            <w:shd w:val="clear" w:color="auto" w:fill="F2F2F2" w:themeFill="background1" w:themeFillShade="F2"/>
            <w:vAlign w:val="center"/>
          </w:tcPr>
          <w:p w14:paraId="6B3BB47D" w14:textId="77777777" w:rsidR="00B764FC" w:rsidRDefault="00B764FC">
            <w:pPr>
              <w:rPr>
                <w:sz w:val="20"/>
                <w:szCs w:val="20"/>
              </w:rPr>
            </w:pPr>
            <w:r>
              <w:rPr>
                <w:sz w:val="20"/>
                <w:szCs w:val="20"/>
              </w:rPr>
              <w:t>Existing</w:t>
            </w:r>
          </w:p>
        </w:tc>
        <w:tc>
          <w:tcPr>
            <w:tcW w:w="1785" w:type="dxa"/>
            <w:tcBorders>
              <w:left w:val="nil"/>
              <w:right w:val="nil"/>
            </w:tcBorders>
            <w:shd w:val="clear" w:color="auto" w:fill="F2F2F2" w:themeFill="background1" w:themeFillShade="F2"/>
            <w:vAlign w:val="center"/>
          </w:tcPr>
          <w:p w14:paraId="6C8800D1" w14:textId="2ADE4CEF" w:rsidR="00B764FC" w:rsidRDefault="006829EA">
            <w:pPr>
              <w:rPr>
                <w:sz w:val="20"/>
                <w:szCs w:val="20"/>
              </w:rPr>
            </w:pPr>
            <w:r>
              <w:rPr>
                <w:sz w:val="20"/>
                <w:szCs w:val="20"/>
              </w:rPr>
              <w:t>CEO</w:t>
            </w:r>
          </w:p>
        </w:tc>
      </w:tr>
      <w:tr w:rsidR="00B764FC" w14:paraId="6ADE45AF" w14:textId="77777777" w:rsidTr="003247FA">
        <w:trPr>
          <w:cantSplit/>
        </w:trPr>
        <w:tc>
          <w:tcPr>
            <w:tcW w:w="1712" w:type="dxa"/>
            <w:vMerge/>
            <w:tcBorders>
              <w:left w:val="nil"/>
              <w:right w:val="nil"/>
            </w:tcBorders>
            <w:shd w:val="clear" w:color="auto" w:fill="F2F2F2" w:themeFill="background1" w:themeFillShade="F2"/>
            <w:vAlign w:val="center"/>
          </w:tcPr>
          <w:p w14:paraId="28234728" w14:textId="77777777" w:rsidR="00B764FC" w:rsidRDefault="00B764FC">
            <w:pPr>
              <w:rPr>
                <w:b/>
                <w:bCs/>
                <w:sz w:val="20"/>
                <w:szCs w:val="20"/>
              </w:rPr>
            </w:pPr>
          </w:p>
        </w:tc>
        <w:tc>
          <w:tcPr>
            <w:tcW w:w="2052" w:type="dxa"/>
            <w:tcBorders>
              <w:left w:val="nil"/>
              <w:right w:val="nil"/>
            </w:tcBorders>
            <w:shd w:val="clear" w:color="auto" w:fill="F2F2F2" w:themeFill="background1" w:themeFillShade="F2"/>
            <w:vAlign w:val="center"/>
          </w:tcPr>
          <w:p w14:paraId="6C6D9E33" w14:textId="77777777" w:rsidR="00B764FC" w:rsidRDefault="00B764FC">
            <w:pPr>
              <w:rPr>
                <w:sz w:val="20"/>
                <w:szCs w:val="20"/>
              </w:rPr>
            </w:pPr>
            <w:r>
              <w:rPr>
                <w:sz w:val="20"/>
                <w:szCs w:val="20"/>
              </w:rPr>
              <w:t>Meet with the Director of Housing to discuss the scope of a Social Housing Agreement between Council and DOH</w:t>
            </w:r>
          </w:p>
        </w:tc>
        <w:tc>
          <w:tcPr>
            <w:tcW w:w="1794" w:type="dxa"/>
            <w:tcBorders>
              <w:left w:val="nil"/>
              <w:right w:val="nil"/>
            </w:tcBorders>
            <w:shd w:val="clear" w:color="auto" w:fill="F2F2F2" w:themeFill="background1" w:themeFillShade="F2"/>
            <w:vAlign w:val="center"/>
          </w:tcPr>
          <w:p w14:paraId="445AEE1B" w14:textId="77777777" w:rsidR="00B764FC" w:rsidRDefault="00B764FC">
            <w:pPr>
              <w:rPr>
                <w:sz w:val="20"/>
                <w:szCs w:val="20"/>
              </w:rPr>
            </w:pPr>
            <w:r>
              <w:rPr>
                <w:sz w:val="20"/>
                <w:szCs w:val="20"/>
              </w:rPr>
              <w:t>In-principle agreement on scope of agreement and process for negotiating details.</w:t>
            </w:r>
          </w:p>
        </w:tc>
        <w:tc>
          <w:tcPr>
            <w:tcW w:w="1673" w:type="dxa"/>
            <w:tcBorders>
              <w:left w:val="nil"/>
              <w:right w:val="nil"/>
            </w:tcBorders>
            <w:shd w:val="clear" w:color="auto" w:fill="F2F2F2" w:themeFill="background1" w:themeFillShade="F2"/>
            <w:vAlign w:val="center"/>
          </w:tcPr>
          <w:p w14:paraId="6F6D6B15" w14:textId="77777777" w:rsidR="00B764FC" w:rsidRDefault="00B764FC">
            <w:pPr>
              <w:rPr>
                <w:sz w:val="20"/>
                <w:szCs w:val="20"/>
              </w:rPr>
            </w:pPr>
            <w:r>
              <w:rPr>
                <w:sz w:val="20"/>
                <w:szCs w:val="20"/>
              </w:rPr>
              <w:t>Existing</w:t>
            </w:r>
          </w:p>
        </w:tc>
        <w:tc>
          <w:tcPr>
            <w:tcW w:w="1785" w:type="dxa"/>
            <w:tcBorders>
              <w:left w:val="nil"/>
              <w:right w:val="nil"/>
            </w:tcBorders>
            <w:shd w:val="clear" w:color="auto" w:fill="F2F2F2" w:themeFill="background1" w:themeFillShade="F2"/>
            <w:vAlign w:val="center"/>
          </w:tcPr>
          <w:p w14:paraId="53B1E656" w14:textId="77777777" w:rsidR="00B764FC" w:rsidRDefault="00B764FC">
            <w:pPr>
              <w:rPr>
                <w:sz w:val="20"/>
                <w:szCs w:val="20"/>
              </w:rPr>
            </w:pPr>
            <w:r>
              <w:rPr>
                <w:sz w:val="20"/>
                <w:szCs w:val="20"/>
              </w:rPr>
              <w:t>CEO’s Office</w:t>
            </w:r>
          </w:p>
        </w:tc>
      </w:tr>
      <w:tr w:rsidR="00B764FC" w14:paraId="692A611D" w14:textId="77777777" w:rsidTr="003247FA">
        <w:trPr>
          <w:cantSplit/>
        </w:trPr>
        <w:tc>
          <w:tcPr>
            <w:tcW w:w="1712" w:type="dxa"/>
            <w:vMerge w:val="restart"/>
            <w:tcBorders>
              <w:left w:val="nil"/>
              <w:right w:val="nil"/>
            </w:tcBorders>
            <w:shd w:val="clear" w:color="auto" w:fill="FFFFFF" w:themeFill="background1"/>
            <w:vAlign w:val="center"/>
          </w:tcPr>
          <w:p w14:paraId="6C243F9C" w14:textId="77777777" w:rsidR="00B764FC" w:rsidRDefault="00B764FC">
            <w:pPr>
              <w:rPr>
                <w:b/>
                <w:bCs/>
                <w:sz w:val="20"/>
                <w:szCs w:val="20"/>
              </w:rPr>
            </w:pPr>
            <w:r>
              <w:rPr>
                <w:b/>
                <w:bCs/>
                <w:sz w:val="20"/>
                <w:szCs w:val="20"/>
              </w:rPr>
              <w:t>Capacity Building</w:t>
            </w:r>
          </w:p>
        </w:tc>
        <w:tc>
          <w:tcPr>
            <w:tcW w:w="2052" w:type="dxa"/>
            <w:tcBorders>
              <w:left w:val="nil"/>
              <w:right w:val="nil"/>
            </w:tcBorders>
            <w:shd w:val="clear" w:color="auto" w:fill="FFFFFF" w:themeFill="background1"/>
            <w:vAlign w:val="center"/>
          </w:tcPr>
          <w:p w14:paraId="45A93962" w14:textId="77777777" w:rsidR="00B764FC" w:rsidRDefault="00B764FC">
            <w:pPr>
              <w:rPr>
                <w:sz w:val="20"/>
                <w:szCs w:val="20"/>
              </w:rPr>
            </w:pPr>
            <w:r>
              <w:rPr>
                <w:sz w:val="20"/>
                <w:szCs w:val="20"/>
              </w:rPr>
              <w:t>Engage lawyers to draft Trust Deed for the formation of Geelong Affordable Housing Trust for Council consideration</w:t>
            </w:r>
          </w:p>
        </w:tc>
        <w:tc>
          <w:tcPr>
            <w:tcW w:w="1794" w:type="dxa"/>
            <w:tcBorders>
              <w:left w:val="nil"/>
              <w:right w:val="nil"/>
            </w:tcBorders>
            <w:shd w:val="clear" w:color="auto" w:fill="FFFFFF" w:themeFill="background1"/>
            <w:vAlign w:val="center"/>
          </w:tcPr>
          <w:p w14:paraId="080B4C3B" w14:textId="77777777" w:rsidR="00B764FC" w:rsidRDefault="00B764FC">
            <w:pPr>
              <w:rPr>
                <w:sz w:val="20"/>
                <w:szCs w:val="20"/>
              </w:rPr>
            </w:pPr>
            <w:r>
              <w:rPr>
                <w:sz w:val="20"/>
                <w:szCs w:val="20"/>
              </w:rPr>
              <w:t>Adoption by Council and establishment of the Trust.</w:t>
            </w:r>
          </w:p>
        </w:tc>
        <w:tc>
          <w:tcPr>
            <w:tcW w:w="1673" w:type="dxa"/>
            <w:tcBorders>
              <w:left w:val="nil"/>
              <w:right w:val="nil"/>
            </w:tcBorders>
            <w:shd w:val="clear" w:color="auto" w:fill="FFFFFF" w:themeFill="background1"/>
            <w:vAlign w:val="center"/>
          </w:tcPr>
          <w:p w14:paraId="34782EED" w14:textId="77777777" w:rsidR="00B764FC" w:rsidRDefault="00B764FC">
            <w:pPr>
              <w:rPr>
                <w:sz w:val="20"/>
                <w:szCs w:val="20"/>
              </w:rPr>
            </w:pPr>
            <w:r>
              <w:rPr>
                <w:sz w:val="20"/>
                <w:szCs w:val="20"/>
              </w:rPr>
              <w:t>$25,000</w:t>
            </w:r>
          </w:p>
        </w:tc>
        <w:tc>
          <w:tcPr>
            <w:tcW w:w="1785" w:type="dxa"/>
            <w:tcBorders>
              <w:left w:val="nil"/>
              <w:right w:val="nil"/>
            </w:tcBorders>
            <w:shd w:val="clear" w:color="auto" w:fill="FFFFFF" w:themeFill="background1"/>
            <w:vAlign w:val="center"/>
          </w:tcPr>
          <w:p w14:paraId="01AD1C7C" w14:textId="77777777" w:rsidR="00B764FC" w:rsidRDefault="00B764FC">
            <w:pPr>
              <w:rPr>
                <w:sz w:val="20"/>
                <w:szCs w:val="20"/>
              </w:rPr>
            </w:pPr>
            <w:r>
              <w:rPr>
                <w:sz w:val="20"/>
                <w:szCs w:val="20"/>
              </w:rPr>
              <w:t>Governance, Strategy and Performance</w:t>
            </w:r>
          </w:p>
        </w:tc>
      </w:tr>
      <w:tr w:rsidR="00B764FC" w14:paraId="2E2727C3" w14:textId="77777777" w:rsidTr="003247FA">
        <w:trPr>
          <w:cantSplit/>
        </w:trPr>
        <w:tc>
          <w:tcPr>
            <w:tcW w:w="1712" w:type="dxa"/>
            <w:vMerge/>
            <w:tcBorders>
              <w:left w:val="nil"/>
              <w:right w:val="nil"/>
            </w:tcBorders>
            <w:shd w:val="clear" w:color="auto" w:fill="FFFFFF" w:themeFill="background1"/>
            <w:vAlign w:val="center"/>
          </w:tcPr>
          <w:p w14:paraId="19DC8BDA" w14:textId="77777777" w:rsidR="00B764FC" w:rsidRDefault="00B764FC">
            <w:pPr>
              <w:rPr>
                <w:sz w:val="20"/>
                <w:szCs w:val="20"/>
              </w:rPr>
            </w:pPr>
          </w:p>
        </w:tc>
        <w:tc>
          <w:tcPr>
            <w:tcW w:w="2052" w:type="dxa"/>
            <w:tcBorders>
              <w:left w:val="nil"/>
              <w:right w:val="nil"/>
            </w:tcBorders>
            <w:shd w:val="clear" w:color="auto" w:fill="FFFFFF" w:themeFill="background1"/>
            <w:vAlign w:val="center"/>
          </w:tcPr>
          <w:p w14:paraId="3CEDED68" w14:textId="77777777" w:rsidR="00B764FC" w:rsidRDefault="00B764FC">
            <w:pPr>
              <w:rPr>
                <w:sz w:val="20"/>
                <w:szCs w:val="20"/>
              </w:rPr>
            </w:pPr>
            <w:r>
              <w:rPr>
                <w:sz w:val="20"/>
                <w:szCs w:val="20"/>
              </w:rPr>
              <w:t>Engage lawyers to incorporate a company limited by guarantee to act as manager of the Geelong Affordable Housing trust</w:t>
            </w:r>
          </w:p>
        </w:tc>
        <w:tc>
          <w:tcPr>
            <w:tcW w:w="1794" w:type="dxa"/>
            <w:tcBorders>
              <w:left w:val="nil"/>
              <w:right w:val="nil"/>
            </w:tcBorders>
            <w:shd w:val="clear" w:color="auto" w:fill="FFFFFF" w:themeFill="background1"/>
            <w:vAlign w:val="center"/>
          </w:tcPr>
          <w:p w14:paraId="0EB98600" w14:textId="77777777" w:rsidR="00B764FC" w:rsidRDefault="00B764FC">
            <w:pPr>
              <w:rPr>
                <w:sz w:val="20"/>
                <w:szCs w:val="20"/>
              </w:rPr>
            </w:pPr>
            <w:r>
              <w:rPr>
                <w:sz w:val="20"/>
                <w:szCs w:val="20"/>
              </w:rPr>
              <w:t>Approval by Council and incorporation of company</w:t>
            </w:r>
          </w:p>
        </w:tc>
        <w:tc>
          <w:tcPr>
            <w:tcW w:w="1673" w:type="dxa"/>
            <w:tcBorders>
              <w:left w:val="nil"/>
              <w:right w:val="nil"/>
            </w:tcBorders>
            <w:shd w:val="clear" w:color="auto" w:fill="FFFFFF" w:themeFill="background1"/>
            <w:vAlign w:val="center"/>
          </w:tcPr>
          <w:p w14:paraId="7E5671F5" w14:textId="77777777" w:rsidR="00B764FC" w:rsidRDefault="00B764FC">
            <w:pPr>
              <w:rPr>
                <w:sz w:val="20"/>
                <w:szCs w:val="20"/>
              </w:rPr>
            </w:pPr>
            <w:r>
              <w:rPr>
                <w:sz w:val="20"/>
                <w:szCs w:val="20"/>
              </w:rPr>
              <w:t>$25,000</w:t>
            </w:r>
          </w:p>
        </w:tc>
        <w:tc>
          <w:tcPr>
            <w:tcW w:w="1785" w:type="dxa"/>
            <w:tcBorders>
              <w:left w:val="nil"/>
              <w:right w:val="nil"/>
            </w:tcBorders>
            <w:shd w:val="clear" w:color="auto" w:fill="FFFFFF" w:themeFill="background1"/>
            <w:vAlign w:val="center"/>
          </w:tcPr>
          <w:p w14:paraId="555EBA8A" w14:textId="77777777" w:rsidR="00B764FC" w:rsidRDefault="00B764FC">
            <w:pPr>
              <w:rPr>
                <w:sz w:val="20"/>
                <w:szCs w:val="20"/>
              </w:rPr>
            </w:pPr>
            <w:r>
              <w:rPr>
                <w:sz w:val="20"/>
                <w:szCs w:val="20"/>
              </w:rPr>
              <w:t>Governance, Strategy and Performance</w:t>
            </w:r>
          </w:p>
        </w:tc>
      </w:tr>
      <w:tr w:rsidR="00B764FC" w14:paraId="5405FDFB" w14:textId="77777777" w:rsidTr="003247FA">
        <w:trPr>
          <w:cantSplit/>
        </w:trPr>
        <w:tc>
          <w:tcPr>
            <w:tcW w:w="1712" w:type="dxa"/>
            <w:vMerge/>
            <w:tcBorders>
              <w:left w:val="nil"/>
              <w:right w:val="nil"/>
            </w:tcBorders>
            <w:shd w:val="clear" w:color="auto" w:fill="FFFFFF" w:themeFill="background1"/>
            <w:vAlign w:val="center"/>
          </w:tcPr>
          <w:p w14:paraId="2F2D1F56" w14:textId="77777777" w:rsidR="00B764FC" w:rsidRDefault="00B764FC">
            <w:pPr>
              <w:rPr>
                <w:sz w:val="20"/>
                <w:szCs w:val="20"/>
              </w:rPr>
            </w:pPr>
          </w:p>
        </w:tc>
        <w:tc>
          <w:tcPr>
            <w:tcW w:w="2052" w:type="dxa"/>
            <w:tcBorders>
              <w:left w:val="nil"/>
              <w:right w:val="nil"/>
            </w:tcBorders>
            <w:shd w:val="clear" w:color="auto" w:fill="FFFFFF" w:themeFill="background1"/>
            <w:vAlign w:val="center"/>
          </w:tcPr>
          <w:p w14:paraId="7117E242" w14:textId="77777777" w:rsidR="00B764FC" w:rsidRDefault="00B764FC">
            <w:pPr>
              <w:rPr>
                <w:sz w:val="20"/>
                <w:szCs w:val="20"/>
              </w:rPr>
            </w:pPr>
            <w:r>
              <w:rPr>
                <w:sz w:val="20"/>
                <w:szCs w:val="20"/>
              </w:rPr>
              <w:t>Recruit 5-7 Council residents with the skills and experience to provide an effective Board of the Trust Manager</w:t>
            </w:r>
          </w:p>
        </w:tc>
        <w:tc>
          <w:tcPr>
            <w:tcW w:w="1794" w:type="dxa"/>
            <w:tcBorders>
              <w:left w:val="nil"/>
              <w:right w:val="nil"/>
            </w:tcBorders>
            <w:shd w:val="clear" w:color="auto" w:fill="FFFFFF" w:themeFill="background1"/>
            <w:vAlign w:val="center"/>
          </w:tcPr>
          <w:p w14:paraId="3C4FEAC6" w14:textId="77777777" w:rsidR="00B764FC" w:rsidRDefault="00B764FC">
            <w:pPr>
              <w:rPr>
                <w:sz w:val="20"/>
                <w:szCs w:val="20"/>
              </w:rPr>
            </w:pPr>
            <w:r>
              <w:rPr>
                <w:sz w:val="20"/>
                <w:szCs w:val="20"/>
              </w:rPr>
              <w:t>Appointment by Council of Board of Directors of Trustee</w:t>
            </w:r>
          </w:p>
        </w:tc>
        <w:tc>
          <w:tcPr>
            <w:tcW w:w="1673" w:type="dxa"/>
            <w:tcBorders>
              <w:left w:val="nil"/>
              <w:right w:val="nil"/>
            </w:tcBorders>
            <w:shd w:val="clear" w:color="auto" w:fill="FFFFFF" w:themeFill="background1"/>
            <w:vAlign w:val="center"/>
          </w:tcPr>
          <w:p w14:paraId="60EE7DE0" w14:textId="77777777" w:rsidR="00B764FC" w:rsidRDefault="00B764FC">
            <w:pPr>
              <w:rPr>
                <w:sz w:val="20"/>
                <w:szCs w:val="20"/>
              </w:rPr>
            </w:pPr>
            <w:r>
              <w:rPr>
                <w:sz w:val="20"/>
                <w:szCs w:val="20"/>
              </w:rPr>
              <w:t>Internal</w:t>
            </w:r>
          </w:p>
        </w:tc>
        <w:tc>
          <w:tcPr>
            <w:tcW w:w="1785" w:type="dxa"/>
            <w:tcBorders>
              <w:left w:val="nil"/>
              <w:right w:val="nil"/>
            </w:tcBorders>
            <w:shd w:val="clear" w:color="auto" w:fill="FFFFFF" w:themeFill="background1"/>
            <w:vAlign w:val="center"/>
          </w:tcPr>
          <w:p w14:paraId="385FF34F" w14:textId="77777777" w:rsidR="00B764FC" w:rsidRDefault="00B764FC">
            <w:pPr>
              <w:rPr>
                <w:sz w:val="20"/>
                <w:szCs w:val="20"/>
              </w:rPr>
            </w:pPr>
            <w:r>
              <w:rPr>
                <w:sz w:val="20"/>
                <w:szCs w:val="20"/>
              </w:rPr>
              <w:t>Governance, Strategy and Performance</w:t>
            </w:r>
          </w:p>
        </w:tc>
      </w:tr>
    </w:tbl>
    <w:p w14:paraId="04ED6FB0" w14:textId="77777777" w:rsidR="00B764FC" w:rsidRDefault="00B764FC"/>
    <w:p w14:paraId="23E25CD3" w14:textId="77777777" w:rsidR="00B764FC" w:rsidRDefault="00B764FC"/>
    <w:p w14:paraId="3E0FD2BC" w14:textId="77777777" w:rsidR="00B764FC" w:rsidRDefault="00B764FC">
      <w:r>
        <w:br w:type="page"/>
      </w:r>
    </w:p>
    <w:p w14:paraId="0014461A" w14:textId="77777777" w:rsidR="00B764FC" w:rsidRPr="00AE261C" w:rsidRDefault="00B764FC">
      <w:pPr>
        <w:pStyle w:val="Title"/>
        <w:rPr>
          <w:rFonts w:ascii="Brandon Grotesque Black" w:hAnsi="Brandon Grotesque Black"/>
          <w:color w:val="002060"/>
        </w:rPr>
      </w:pPr>
      <w:r w:rsidRPr="00AE261C">
        <w:rPr>
          <w:rFonts w:ascii="Brandon Grotesque Black" w:hAnsi="Brandon Grotesque Black"/>
          <w:color w:val="002060"/>
        </w:rPr>
        <w:lastRenderedPageBreak/>
        <w:t>Part B: Context for a Social Housing Plan</w:t>
      </w:r>
    </w:p>
    <w:p w14:paraId="24D1F1B8" w14:textId="77777777" w:rsidR="00B764FC" w:rsidRDefault="00B764FC">
      <w:r>
        <w:br w:type="page"/>
      </w:r>
    </w:p>
    <w:p w14:paraId="2532E202" w14:textId="77777777" w:rsidR="00B764FC" w:rsidRPr="00AE261C" w:rsidRDefault="00B764FC">
      <w:pPr>
        <w:pStyle w:val="Heading1"/>
        <w:numPr>
          <w:ilvl w:val="0"/>
          <w:numId w:val="0"/>
        </w:numPr>
        <w:rPr>
          <w:color w:val="002060"/>
        </w:rPr>
      </w:pPr>
      <w:bookmarkStart w:id="12" w:name="_Toc22120152"/>
      <w:bookmarkEnd w:id="3"/>
      <w:bookmarkEnd w:id="4"/>
      <w:r w:rsidRPr="00AE261C">
        <w:rPr>
          <w:color w:val="002060"/>
        </w:rPr>
        <w:lastRenderedPageBreak/>
        <w:t>2. What is social and affordable housing?</w:t>
      </w:r>
      <w:bookmarkEnd w:id="12"/>
    </w:p>
    <w:p w14:paraId="2C1536C0" w14:textId="77777777" w:rsidR="00B764FC" w:rsidRDefault="00B764FC">
      <w:pPr>
        <w:pStyle w:val="Heading2"/>
      </w:pPr>
      <w:bookmarkStart w:id="13" w:name="_Toc22120153"/>
      <w:r w:rsidRPr="00AE261C">
        <w:t>2.1</w:t>
      </w:r>
      <w:r w:rsidRPr="00AE261C">
        <w:tab/>
        <w:t>How is social and affordable housing defined?</w:t>
      </w:r>
      <w:bookmarkEnd w:id="13"/>
    </w:p>
    <w:p w14:paraId="44E23D4A" w14:textId="77777777" w:rsidR="00B764FC" w:rsidRDefault="00B764FC">
      <w:pPr>
        <w:spacing w:before="240" w:after="240" w:line="276" w:lineRule="auto"/>
        <w:jc w:val="both"/>
        <w:rPr>
          <w:b/>
          <w:bCs/>
          <w:sz w:val="22"/>
          <w:szCs w:val="22"/>
        </w:rPr>
      </w:pPr>
      <w:r>
        <w:rPr>
          <w:b/>
          <w:bCs/>
          <w:sz w:val="22"/>
          <w:szCs w:val="22"/>
        </w:rPr>
        <w:t xml:space="preserve">Affordable Housing </w:t>
      </w:r>
    </w:p>
    <w:p w14:paraId="36561C0C" w14:textId="77777777" w:rsidR="00B764FC" w:rsidRDefault="00B764FC">
      <w:pPr>
        <w:spacing w:after="240" w:line="276" w:lineRule="auto"/>
        <w:jc w:val="both"/>
        <w:rPr>
          <w:sz w:val="22"/>
          <w:szCs w:val="22"/>
        </w:rPr>
      </w:pPr>
      <w:r>
        <w:rPr>
          <w:sz w:val="22"/>
          <w:szCs w:val="22"/>
        </w:rPr>
        <w:t xml:space="preserve">The term ‘affordable housing’ generally refers to housing available to lower income households which is affordable relative to their incomes.  </w:t>
      </w:r>
    </w:p>
    <w:p w14:paraId="207EBBDF" w14:textId="542F5DE0" w:rsidR="00B764FC" w:rsidRDefault="00B764FC">
      <w:pPr>
        <w:spacing w:after="240" w:line="276" w:lineRule="auto"/>
        <w:jc w:val="both"/>
        <w:rPr>
          <w:i/>
          <w:iCs/>
          <w:sz w:val="22"/>
          <w:szCs w:val="22"/>
        </w:rPr>
      </w:pPr>
      <w:r>
        <w:rPr>
          <w:sz w:val="22"/>
          <w:szCs w:val="22"/>
        </w:rPr>
        <w:t xml:space="preserve">The </w:t>
      </w:r>
      <w:r>
        <w:rPr>
          <w:i/>
          <w:iCs/>
          <w:sz w:val="22"/>
          <w:szCs w:val="22"/>
        </w:rPr>
        <w:t>Planning and Environment Act 1987</w:t>
      </w:r>
      <w:r>
        <w:rPr>
          <w:sz w:val="22"/>
          <w:szCs w:val="22"/>
        </w:rPr>
        <w:t xml:space="preserve"> introduced a definition of affordable housing in June 2018:  </w:t>
      </w:r>
      <w:r w:rsidR="00FF5CA4" w:rsidRPr="00077040">
        <w:rPr>
          <w:i/>
          <w:iCs/>
          <w:sz w:val="22"/>
          <w:szCs w:val="22"/>
        </w:rPr>
        <w:t xml:space="preserve">Affordable Housing is defined as housing, including social housing that is appropriate for the housing needs of very low, </w:t>
      </w:r>
      <w:r w:rsidR="003247FA" w:rsidRPr="00077040">
        <w:rPr>
          <w:i/>
          <w:iCs/>
          <w:sz w:val="22"/>
          <w:szCs w:val="22"/>
        </w:rPr>
        <w:t>low- and moderate-income</w:t>
      </w:r>
      <w:r w:rsidR="00FF5CA4" w:rsidRPr="00077040">
        <w:rPr>
          <w:i/>
          <w:iCs/>
          <w:sz w:val="22"/>
          <w:szCs w:val="22"/>
        </w:rPr>
        <w:t xml:space="preserve"> households.</w:t>
      </w:r>
    </w:p>
    <w:p w14:paraId="38FA26BD" w14:textId="77777777" w:rsidR="00B764FC" w:rsidRDefault="00B764FC">
      <w:pPr>
        <w:spacing w:after="240" w:line="276" w:lineRule="auto"/>
        <w:jc w:val="both"/>
        <w:rPr>
          <w:sz w:val="22"/>
          <w:szCs w:val="22"/>
        </w:rPr>
      </w:pPr>
      <w:r>
        <w:rPr>
          <w:sz w:val="22"/>
          <w:szCs w:val="22"/>
        </w:rPr>
        <w:t>These income levels have been defined by the Victorian Government based on the household income distribution derived from the most recent Census of Population and Housing undertaken by the Australian Bureau of Statistics. Very Low income is defined as less than 50 percent of the median household income, Low is 50-80 percent of the median, and Moderate is 80-120 percent of the median household income.</w:t>
      </w:r>
    </w:p>
    <w:p w14:paraId="6FACFA7F" w14:textId="77777777" w:rsidR="00B764FC" w:rsidRDefault="00B764FC">
      <w:pPr>
        <w:spacing w:line="276" w:lineRule="auto"/>
        <w:jc w:val="both"/>
        <w:rPr>
          <w:sz w:val="22"/>
          <w:szCs w:val="22"/>
        </w:rPr>
      </w:pPr>
      <w:r>
        <w:rPr>
          <w:sz w:val="22"/>
          <w:szCs w:val="22"/>
        </w:rPr>
        <w:t xml:space="preserve">The income ranges are shown in Table 1 for three types of household.  The Victorian Government publishes income bands for Greater Melbourne and the Rest of Victoria.  Geelong belongs in the ‘Rest of Victoria’.  </w:t>
      </w:r>
    </w:p>
    <w:p w14:paraId="5A12D22C" w14:textId="77777777" w:rsidR="00B764FC" w:rsidRDefault="00B764FC">
      <w:pPr>
        <w:pStyle w:val="Caption"/>
        <w:rPr>
          <w:b/>
          <w:bCs/>
        </w:rPr>
      </w:pPr>
      <w:r>
        <w:rPr>
          <w:b/>
          <w:bCs/>
        </w:rPr>
        <w:t>Table 1:</w:t>
      </w:r>
      <w:r>
        <w:rPr>
          <w:b/>
          <w:bCs/>
        </w:rPr>
        <w:tab/>
        <w:t>Annual income ranges - households eligible for Affordable Housing, Rest of Victoria</w:t>
      </w:r>
    </w:p>
    <w:tbl>
      <w:tblPr>
        <w:tblW w:w="0" w:type="auto"/>
        <w:tblInd w:w="2" w:type="dxa"/>
        <w:tblBorders>
          <w:top w:val="single" w:sz="6" w:space="0" w:color="auto"/>
          <w:bottom w:val="single" w:sz="6" w:space="0" w:color="auto"/>
          <w:insideH w:val="single" w:sz="6" w:space="0" w:color="auto"/>
        </w:tblBorders>
        <w:tblLayout w:type="fixed"/>
        <w:tblCellMar>
          <w:left w:w="0" w:type="dxa"/>
          <w:right w:w="0" w:type="dxa"/>
        </w:tblCellMar>
        <w:tblLook w:val="0000" w:firstRow="0" w:lastRow="0" w:firstColumn="0" w:lastColumn="0" w:noHBand="0" w:noVBand="0"/>
      </w:tblPr>
      <w:tblGrid>
        <w:gridCol w:w="2573"/>
        <w:gridCol w:w="2268"/>
        <w:gridCol w:w="1979"/>
        <w:gridCol w:w="2394"/>
      </w:tblGrid>
      <w:tr w:rsidR="00B764FC" w14:paraId="51012D7C" w14:textId="77777777" w:rsidTr="00AE261C">
        <w:trPr>
          <w:tblHeader/>
        </w:trPr>
        <w:tc>
          <w:tcPr>
            <w:tcW w:w="2573" w:type="dxa"/>
            <w:tcBorders>
              <w:left w:val="nil"/>
              <w:right w:val="nil"/>
            </w:tcBorders>
            <w:shd w:val="clear" w:color="auto" w:fill="002060"/>
            <w:vAlign w:val="center"/>
          </w:tcPr>
          <w:p w14:paraId="1F15BB87" w14:textId="77777777" w:rsidR="00B764FC" w:rsidRDefault="00B764FC">
            <w:pPr>
              <w:jc w:val="center"/>
              <w:rPr>
                <w:b/>
                <w:bCs/>
                <w:color w:val="FFFFFF"/>
                <w:sz w:val="20"/>
                <w:szCs w:val="20"/>
              </w:rPr>
            </w:pPr>
            <w:r>
              <w:rPr>
                <w:b/>
                <w:bCs/>
                <w:color w:val="FFFFFF"/>
                <w:sz w:val="20"/>
                <w:szCs w:val="20"/>
              </w:rPr>
              <w:t>Household Type </w:t>
            </w:r>
          </w:p>
        </w:tc>
        <w:tc>
          <w:tcPr>
            <w:tcW w:w="2268" w:type="dxa"/>
            <w:tcBorders>
              <w:left w:val="nil"/>
              <w:right w:val="nil"/>
            </w:tcBorders>
            <w:shd w:val="clear" w:color="auto" w:fill="002060"/>
            <w:vAlign w:val="center"/>
          </w:tcPr>
          <w:p w14:paraId="1FC7DFD8" w14:textId="77777777" w:rsidR="00B764FC" w:rsidRDefault="00B764FC">
            <w:pPr>
              <w:jc w:val="center"/>
              <w:rPr>
                <w:b/>
                <w:bCs/>
                <w:color w:val="FFFFFF"/>
                <w:sz w:val="20"/>
                <w:szCs w:val="20"/>
              </w:rPr>
            </w:pPr>
            <w:r>
              <w:rPr>
                <w:b/>
                <w:bCs/>
                <w:color w:val="FFFFFF"/>
                <w:sz w:val="20"/>
                <w:szCs w:val="20"/>
              </w:rPr>
              <w:t>Very low income range (annual)</w:t>
            </w:r>
          </w:p>
        </w:tc>
        <w:tc>
          <w:tcPr>
            <w:tcW w:w="1979" w:type="dxa"/>
            <w:tcBorders>
              <w:left w:val="nil"/>
              <w:right w:val="nil"/>
            </w:tcBorders>
            <w:shd w:val="clear" w:color="auto" w:fill="002060"/>
            <w:vAlign w:val="center"/>
          </w:tcPr>
          <w:p w14:paraId="51E324FA" w14:textId="77777777" w:rsidR="00B764FC" w:rsidRDefault="00B764FC">
            <w:pPr>
              <w:jc w:val="center"/>
              <w:rPr>
                <w:b/>
                <w:bCs/>
                <w:color w:val="FFFFFF"/>
                <w:sz w:val="20"/>
                <w:szCs w:val="20"/>
              </w:rPr>
            </w:pPr>
            <w:r>
              <w:rPr>
                <w:b/>
                <w:bCs/>
                <w:color w:val="FFFFFF"/>
                <w:sz w:val="20"/>
                <w:szCs w:val="20"/>
              </w:rPr>
              <w:t>Low income range (annual)</w:t>
            </w:r>
          </w:p>
        </w:tc>
        <w:tc>
          <w:tcPr>
            <w:tcW w:w="2394" w:type="dxa"/>
            <w:tcBorders>
              <w:left w:val="nil"/>
              <w:right w:val="nil"/>
            </w:tcBorders>
            <w:shd w:val="clear" w:color="auto" w:fill="002060"/>
            <w:vAlign w:val="center"/>
          </w:tcPr>
          <w:p w14:paraId="120E7DEA" w14:textId="77777777" w:rsidR="00B764FC" w:rsidRDefault="00B764FC">
            <w:pPr>
              <w:jc w:val="center"/>
              <w:rPr>
                <w:b/>
                <w:bCs/>
                <w:color w:val="FFFFFF"/>
                <w:sz w:val="20"/>
                <w:szCs w:val="20"/>
              </w:rPr>
            </w:pPr>
            <w:r>
              <w:rPr>
                <w:b/>
                <w:bCs/>
                <w:color w:val="FFFFFF"/>
                <w:sz w:val="20"/>
                <w:szCs w:val="20"/>
              </w:rPr>
              <w:t>Moderate income range (annual)</w:t>
            </w:r>
          </w:p>
        </w:tc>
      </w:tr>
      <w:tr w:rsidR="00B764FC" w14:paraId="1F2220CE" w14:textId="77777777">
        <w:tc>
          <w:tcPr>
            <w:tcW w:w="2573" w:type="dxa"/>
            <w:tcBorders>
              <w:left w:val="nil"/>
              <w:right w:val="nil"/>
            </w:tcBorders>
            <w:vAlign w:val="center"/>
          </w:tcPr>
          <w:p w14:paraId="353ABFB8" w14:textId="77777777" w:rsidR="00B764FC" w:rsidRDefault="00B764FC">
            <w:pPr>
              <w:rPr>
                <w:sz w:val="20"/>
                <w:szCs w:val="20"/>
              </w:rPr>
            </w:pPr>
            <w:r>
              <w:rPr>
                <w:sz w:val="20"/>
                <w:szCs w:val="20"/>
              </w:rPr>
              <w:t>Single Adult</w:t>
            </w:r>
          </w:p>
        </w:tc>
        <w:tc>
          <w:tcPr>
            <w:tcW w:w="2268" w:type="dxa"/>
            <w:tcBorders>
              <w:left w:val="nil"/>
              <w:right w:val="nil"/>
            </w:tcBorders>
            <w:shd w:val="clear" w:color="auto" w:fill="FFFFFF"/>
            <w:vAlign w:val="center"/>
          </w:tcPr>
          <w:p w14:paraId="29D9CF3C" w14:textId="77777777" w:rsidR="00B764FC" w:rsidRDefault="00B764FC">
            <w:pPr>
              <w:jc w:val="center"/>
              <w:rPr>
                <w:sz w:val="20"/>
                <w:szCs w:val="20"/>
              </w:rPr>
            </w:pPr>
            <w:r>
              <w:rPr>
                <w:sz w:val="20"/>
                <w:szCs w:val="20"/>
              </w:rPr>
              <w:t>Up to $18,380</w:t>
            </w:r>
          </w:p>
        </w:tc>
        <w:tc>
          <w:tcPr>
            <w:tcW w:w="1979" w:type="dxa"/>
            <w:tcBorders>
              <w:left w:val="nil"/>
              <w:right w:val="nil"/>
            </w:tcBorders>
            <w:vAlign w:val="center"/>
          </w:tcPr>
          <w:p w14:paraId="23EFFF06" w14:textId="77777777" w:rsidR="00B764FC" w:rsidRDefault="00B764FC">
            <w:pPr>
              <w:jc w:val="center"/>
              <w:rPr>
                <w:sz w:val="20"/>
                <w:szCs w:val="20"/>
              </w:rPr>
            </w:pPr>
            <w:r>
              <w:rPr>
                <w:sz w:val="20"/>
                <w:szCs w:val="20"/>
              </w:rPr>
              <w:t>$18,381 - $29,400</w:t>
            </w:r>
          </w:p>
        </w:tc>
        <w:tc>
          <w:tcPr>
            <w:tcW w:w="2394" w:type="dxa"/>
            <w:tcBorders>
              <w:left w:val="nil"/>
              <w:right w:val="nil"/>
            </w:tcBorders>
            <w:shd w:val="clear" w:color="auto" w:fill="FFFFFF"/>
            <w:vAlign w:val="center"/>
          </w:tcPr>
          <w:p w14:paraId="491754EF" w14:textId="77777777" w:rsidR="00B764FC" w:rsidRDefault="00B764FC">
            <w:pPr>
              <w:jc w:val="center"/>
              <w:rPr>
                <w:sz w:val="20"/>
                <w:szCs w:val="20"/>
              </w:rPr>
            </w:pPr>
            <w:r>
              <w:rPr>
                <w:sz w:val="20"/>
                <w:szCs w:val="20"/>
              </w:rPr>
              <w:t>$29,401 - $44,100</w:t>
            </w:r>
          </w:p>
        </w:tc>
      </w:tr>
      <w:tr w:rsidR="00B764FC" w14:paraId="59EE8691" w14:textId="77777777">
        <w:tc>
          <w:tcPr>
            <w:tcW w:w="2573" w:type="dxa"/>
            <w:tcBorders>
              <w:left w:val="nil"/>
              <w:right w:val="nil"/>
            </w:tcBorders>
            <w:vAlign w:val="center"/>
          </w:tcPr>
          <w:p w14:paraId="7B51395A" w14:textId="77777777" w:rsidR="00B764FC" w:rsidRDefault="00B764FC">
            <w:pPr>
              <w:rPr>
                <w:sz w:val="20"/>
                <w:szCs w:val="20"/>
              </w:rPr>
            </w:pPr>
            <w:r>
              <w:rPr>
                <w:sz w:val="20"/>
                <w:szCs w:val="20"/>
              </w:rPr>
              <w:t>Couple, no dependents</w:t>
            </w:r>
          </w:p>
        </w:tc>
        <w:tc>
          <w:tcPr>
            <w:tcW w:w="2268" w:type="dxa"/>
            <w:tcBorders>
              <w:left w:val="nil"/>
              <w:right w:val="nil"/>
            </w:tcBorders>
            <w:shd w:val="clear" w:color="auto" w:fill="FFFFFF"/>
            <w:vAlign w:val="center"/>
          </w:tcPr>
          <w:p w14:paraId="76122C93" w14:textId="77777777" w:rsidR="00B764FC" w:rsidRDefault="00B764FC">
            <w:pPr>
              <w:jc w:val="center"/>
              <w:rPr>
                <w:sz w:val="20"/>
                <w:szCs w:val="20"/>
              </w:rPr>
            </w:pPr>
            <w:r>
              <w:rPr>
                <w:sz w:val="20"/>
                <w:szCs w:val="20"/>
              </w:rPr>
              <w:t>Up to $27,560</w:t>
            </w:r>
          </w:p>
        </w:tc>
        <w:tc>
          <w:tcPr>
            <w:tcW w:w="1979" w:type="dxa"/>
            <w:tcBorders>
              <w:left w:val="nil"/>
              <w:right w:val="nil"/>
            </w:tcBorders>
            <w:vAlign w:val="center"/>
          </w:tcPr>
          <w:p w14:paraId="3244FF69" w14:textId="77777777" w:rsidR="00B764FC" w:rsidRDefault="00B764FC">
            <w:pPr>
              <w:jc w:val="center"/>
              <w:rPr>
                <w:sz w:val="20"/>
                <w:szCs w:val="20"/>
              </w:rPr>
            </w:pPr>
            <w:r>
              <w:rPr>
                <w:sz w:val="20"/>
                <w:szCs w:val="20"/>
              </w:rPr>
              <w:t>$27,561 - $44,100</w:t>
            </w:r>
          </w:p>
        </w:tc>
        <w:tc>
          <w:tcPr>
            <w:tcW w:w="2394" w:type="dxa"/>
            <w:tcBorders>
              <w:left w:val="nil"/>
              <w:right w:val="nil"/>
            </w:tcBorders>
            <w:shd w:val="clear" w:color="auto" w:fill="FFFFFF"/>
            <w:vAlign w:val="center"/>
          </w:tcPr>
          <w:p w14:paraId="1C072A4D" w14:textId="77777777" w:rsidR="00B764FC" w:rsidRDefault="00B764FC">
            <w:pPr>
              <w:jc w:val="center"/>
              <w:rPr>
                <w:sz w:val="20"/>
                <w:szCs w:val="20"/>
              </w:rPr>
            </w:pPr>
            <w:r>
              <w:rPr>
                <w:sz w:val="20"/>
                <w:szCs w:val="20"/>
              </w:rPr>
              <w:t>$44,101 - $66,160</w:t>
            </w:r>
          </w:p>
        </w:tc>
      </w:tr>
      <w:tr w:rsidR="00B764FC" w14:paraId="75DD3A94" w14:textId="77777777">
        <w:tc>
          <w:tcPr>
            <w:tcW w:w="2573" w:type="dxa"/>
            <w:tcBorders>
              <w:left w:val="nil"/>
              <w:right w:val="nil"/>
            </w:tcBorders>
            <w:vAlign w:val="center"/>
          </w:tcPr>
          <w:p w14:paraId="2EAD442A" w14:textId="77777777" w:rsidR="00B764FC" w:rsidRDefault="00B764FC">
            <w:pPr>
              <w:rPr>
                <w:sz w:val="20"/>
                <w:szCs w:val="20"/>
              </w:rPr>
            </w:pPr>
            <w:r>
              <w:rPr>
                <w:sz w:val="20"/>
                <w:szCs w:val="20"/>
              </w:rPr>
              <w:t>Family (one or two parents and dependent children)</w:t>
            </w:r>
          </w:p>
        </w:tc>
        <w:tc>
          <w:tcPr>
            <w:tcW w:w="2268" w:type="dxa"/>
            <w:tcBorders>
              <w:left w:val="nil"/>
              <w:right w:val="nil"/>
            </w:tcBorders>
            <w:shd w:val="clear" w:color="auto" w:fill="FFFFFF"/>
            <w:vAlign w:val="center"/>
          </w:tcPr>
          <w:p w14:paraId="481CD0C8" w14:textId="77777777" w:rsidR="00B764FC" w:rsidRDefault="00B764FC">
            <w:pPr>
              <w:jc w:val="center"/>
              <w:rPr>
                <w:sz w:val="20"/>
                <w:szCs w:val="20"/>
              </w:rPr>
            </w:pPr>
            <w:r>
              <w:rPr>
                <w:sz w:val="20"/>
                <w:szCs w:val="20"/>
              </w:rPr>
              <w:t>Up to $38,590</w:t>
            </w:r>
          </w:p>
        </w:tc>
        <w:tc>
          <w:tcPr>
            <w:tcW w:w="1979" w:type="dxa"/>
            <w:tcBorders>
              <w:left w:val="nil"/>
              <w:right w:val="nil"/>
            </w:tcBorders>
            <w:vAlign w:val="center"/>
          </w:tcPr>
          <w:p w14:paraId="1482541D" w14:textId="77777777" w:rsidR="00B764FC" w:rsidRDefault="00B764FC">
            <w:pPr>
              <w:jc w:val="center"/>
              <w:rPr>
                <w:sz w:val="20"/>
                <w:szCs w:val="20"/>
              </w:rPr>
            </w:pPr>
            <w:r>
              <w:rPr>
                <w:sz w:val="20"/>
                <w:szCs w:val="20"/>
              </w:rPr>
              <w:t>$38,591 - $61,750</w:t>
            </w:r>
          </w:p>
        </w:tc>
        <w:tc>
          <w:tcPr>
            <w:tcW w:w="2394" w:type="dxa"/>
            <w:tcBorders>
              <w:left w:val="nil"/>
              <w:right w:val="nil"/>
            </w:tcBorders>
            <w:shd w:val="clear" w:color="auto" w:fill="FFFFFF"/>
            <w:vAlign w:val="center"/>
          </w:tcPr>
          <w:p w14:paraId="66E18CA3" w14:textId="77777777" w:rsidR="00B764FC" w:rsidRDefault="00B764FC">
            <w:pPr>
              <w:jc w:val="center"/>
              <w:rPr>
                <w:sz w:val="20"/>
                <w:szCs w:val="20"/>
              </w:rPr>
            </w:pPr>
            <w:r>
              <w:rPr>
                <w:sz w:val="20"/>
                <w:szCs w:val="20"/>
              </w:rPr>
              <w:t>$61,751 - $92,610</w:t>
            </w:r>
          </w:p>
        </w:tc>
      </w:tr>
    </w:tbl>
    <w:p w14:paraId="431D3926" w14:textId="77777777" w:rsidR="00B764FC" w:rsidRDefault="00B764FC">
      <w:pPr>
        <w:pStyle w:val="TF"/>
      </w:pPr>
      <w:r>
        <w:rPr>
          <w:i/>
          <w:iCs/>
        </w:rPr>
        <w:t>Source</w:t>
      </w:r>
      <w:r>
        <w:t>: Victorian Government Gazette, 29 May 2018.</w:t>
      </w:r>
    </w:p>
    <w:p w14:paraId="53264A89" w14:textId="77777777" w:rsidR="00B764FC" w:rsidRDefault="00B764FC">
      <w:pPr>
        <w:spacing w:before="240" w:after="240"/>
        <w:jc w:val="both"/>
        <w:rPr>
          <w:b/>
          <w:bCs/>
          <w:sz w:val="22"/>
          <w:szCs w:val="22"/>
        </w:rPr>
      </w:pPr>
      <w:r>
        <w:rPr>
          <w:b/>
          <w:bCs/>
          <w:sz w:val="22"/>
          <w:szCs w:val="22"/>
        </w:rPr>
        <w:t>Housing Stress</w:t>
      </w:r>
    </w:p>
    <w:p w14:paraId="7F063A8A" w14:textId="77777777" w:rsidR="00B764FC" w:rsidRDefault="00B764FC">
      <w:pPr>
        <w:spacing w:before="240" w:line="276" w:lineRule="auto"/>
        <w:jc w:val="both"/>
        <w:rPr>
          <w:sz w:val="22"/>
          <w:szCs w:val="22"/>
          <w:lang w:val="en-US"/>
        </w:rPr>
      </w:pPr>
      <w:r>
        <w:rPr>
          <w:sz w:val="22"/>
          <w:szCs w:val="22"/>
          <w:lang w:val="en-US"/>
        </w:rPr>
        <w:t xml:space="preserve">Households in the very low, low- and moderate-income ranges which are paying more than 30% of their usual gross weekly income on housing costs (i.e. rent or mortgage payments) are said to be experiencing housing stress.  This measure is greater than that used by the National Centre for Social and Economic Modelling, which uses only the very low- and low-income bands (i.e. the lowest 40% of incomes (i.e. 80% of the median).  A significant proportion of households experiencing housing stress may be eligible for social housing. </w:t>
      </w:r>
    </w:p>
    <w:p w14:paraId="2D00B8FE" w14:textId="77777777" w:rsidR="00B764FC" w:rsidRDefault="00B764FC">
      <w:pPr>
        <w:spacing w:before="240" w:after="240" w:line="276" w:lineRule="auto"/>
        <w:jc w:val="both"/>
        <w:rPr>
          <w:b/>
          <w:bCs/>
          <w:sz w:val="22"/>
          <w:szCs w:val="22"/>
        </w:rPr>
      </w:pPr>
      <w:r>
        <w:rPr>
          <w:b/>
          <w:bCs/>
          <w:sz w:val="22"/>
          <w:szCs w:val="22"/>
        </w:rPr>
        <w:t>Social Housing</w:t>
      </w:r>
    </w:p>
    <w:p w14:paraId="0FC5C1AB" w14:textId="77777777" w:rsidR="00B764FC" w:rsidRDefault="00B764FC">
      <w:pPr>
        <w:spacing w:line="276" w:lineRule="auto"/>
        <w:jc w:val="both"/>
        <w:rPr>
          <w:sz w:val="22"/>
          <w:szCs w:val="22"/>
        </w:rPr>
      </w:pPr>
      <w:r>
        <w:rPr>
          <w:sz w:val="22"/>
          <w:szCs w:val="22"/>
        </w:rPr>
        <w:t>Social housing</w:t>
      </w:r>
      <w:r>
        <w:rPr>
          <w:b/>
          <w:bCs/>
          <w:sz w:val="22"/>
          <w:szCs w:val="22"/>
        </w:rPr>
        <w:t xml:space="preserve"> </w:t>
      </w:r>
      <w:r>
        <w:rPr>
          <w:sz w:val="22"/>
          <w:szCs w:val="22"/>
        </w:rPr>
        <w:t xml:space="preserve">is affordable housing, which is owned by government and community-based organisations, where rents are set at an affordable level (i.e. proportion of income) for eligible households.  The majority of social housing is either Public Housing or Community Housing.  </w:t>
      </w:r>
    </w:p>
    <w:p w14:paraId="30A364FC" w14:textId="77777777" w:rsidR="00B764FC" w:rsidRDefault="00B764FC">
      <w:pPr>
        <w:spacing w:line="276" w:lineRule="auto"/>
        <w:jc w:val="both"/>
        <w:rPr>
          <w:sz w:val="22"/>
          <w:szCs w:val="22"/>
        </w:rPr>
      </w:pPr>
    </w:p>
    <w:p w14:paraId="0765E34E" w14:textId="77777777" w:rsidR="00B764FC" w:rsidRDefault="00B764FC">
      <w:pPr>
        <w:spacing w:line="276" w:lineRule="auto"/>
        <w:jc w:val="both"/>
        <w:rPr>
          <w:sz w:val="22"/>
          <w:szCs w:val="22"/>
        </w:rPr>
      </w:pPr>
    </w:p>
    <w:p w14:paraId="6ACDCCF3" w14:textId="77777777" w:rsidR="00B764FC" w:rsidRDefault="00B764FC" w:rsidP="00433B20">
      <w:pPr>
        <w:spacing w:line="276" w:lineRule="auto"/>
        <w:jc w:val="both"/>
        <w:rPr>
          <w:b/>
          <w:bCs/>
          <w:sz w:val="22"/>
          <w:szCs w:val="22"/>
        </w:rPr>
      </w:pPr>
      <w:r>
        <w:rPr>
          <w:b/>
          <w:bCs/>
          <w:sz w:val="22"/>
          <w:szCs w:val="22"/>
        </w:rPr>
        <w:lastRenderedPageBreak/>
        <w:t>Public Housing</w:t>
      </w:r>
    </w:p>
    <w:p w14:paraId="743C6728" w14:textId="4D6AD432" w:rsidR="00B764FC" w:rsidRDefault="00B764FC">
      <w:pPr>
        <w:spacing w:after="240" w:line="276" w:lineRule="auto"/>
        <w:jc w:val="both"/>
        <w:rPr>
          <w:sz w:val="22"/>
          <w:szCs w:val="22"/>
        </w:rPr>
      </w:pPr>
      <w:r>
        <w:rPr>
          <w:sz w:val="22"/>
          <w:szCs w:val="22"/>
        </w:rPr>
        <w:t>Public housing is housing that is owned and managed by the Government, as per the Housing Act 1983. It refers to rental housing that is provided to very-low and low-income households on an affordable basis (no more than 25 percent of income on rent). Most households in public housing receive Commonwealth income support (e.g. the disability or aged pension). Public Housing is owned and managed by the Victorian Department of Health and Human Services (DHHS). Tenure is not time limited but is subject to tenants meeting rental conditions contained in their tenancy agreement. These agreements are renewed every 3 years.</w:t>
      </w:r>
    </w:p>
    <w:p w14:paraId="4C4E647D" w14:textId="77777777" w:rsidR="00B764FC" w:rsidRDefault="00B764FC" w:rsidP="00433B20">
      <w:pPr>
        <w:spacing w:line="276" w:lineRule="auto"/>
        <w:jc w:val="both"/>
        <w:rPr>
          <w:b/>
          <w:bCs/>
          <w:sz w:val="22"/>
          <w:szCs w:val="22"/>
        </w:rPr>
      </w:pPr>
      <w:r>
        <w:rPr>
          <w:b/>
          <w:bCs/>
          <w:sz w:val="22"/>
          <w:szCs w:val="22"/>
        </w:rPr>
        <w:t>Community Housing</w:t>
      </w:r>
    </w:p>
    <w:p w14:paraId="7671EC18" w14:textId="165B6B37" w:rsidR="00B764FC" w:rsidRDefault="00B764FC">
      <w:pPr>
        <w:spacing w:after="240" w:line="276" w:lineRule="auto"/>
        <w:jc w:val="both"/>
        <w:rPr>
          <w:sz w:val="22"/>
          <w:szCs w:val="22"/>
        </w:rPr>
      </w:pPr>
      <w:r>
        <w:rPr>
          <w:sz w:val="22"/>
          <w:szCs w:val="22"/>
        </w:rPr>
        <w:t>Community housing is housing that is managed by a Registered Housing Agency. Community housing may be owned by the RHA or leased from DHHS or private landlords. Community housing is targeted to very low-to-moderate income and/or special needs households who meet income and asset tests, in accordance with the Residential Tenancies Act 1997. Rents are commonly capped at between 25 percent and 30 percent of household income with a maximum generally set at 75 percent of market rent. Many providers provide local support services and encourage tenant participation in maintenance and management. Community Housing thus includes:</w:t>
      </w:r>
    </w:p>
    <w:p w14:paraId="0B7B4903" w14:textId="77777777" w:rsidR="00B764FC" w:rsidRDefault="00B764FC" w:rsidP="00433B20">
      <w:pPr>
        <w:pStyle w:val="ListParagraph"/>
        <w:numPr>
          <w:ilvl w:val="0"/>
          <w:numId w:val="46"/>
        </w:numPr>
        <w:spacing w:line="276" w:lineRule="auto"/>
        <w:jc w:val="both"/>
        <w:rPr>
          <w:sz w:val="22"/>
          <w:szCs w:val="22"/>
        </w:rPr>
      </w:pPr>
      <w:r>
        <w:rPr>
          <w:sz w:val="22"/>
          <w:szCs w:val="22"/>
        </w:rPr>
        <w:t>Social Housing – long term housing for very low- and low-income households mostly reliant on Commonwealth income support</w:t>
      </w:r>
    </w:p>
    <w:p w14:paraId="13ACA7F9" w14:textId="77777777" w:rsidR="00B764FC" w:rsidRDefault="00B764FC" w:rsidP="00433B20">
      <w:pPr>
        <w:pStyle w:val="ListParagraph"/>
        <w:numPr>
          <w:ilvl w:val="0"/>
          <w:numId w:val="46"/>
        </w:numPr>
        <w:spacing w:line="276" w:lineRule="auto"/>
        <w:jc w:val="both"/>
        <w:rPr>
          <w:sz w:val="22"/>
          <w:szCs w:val="22"/>
        </w:rPr>
      </w:pPr>
      <w:r>
        <w:rPr>
          <w:sz w:val="22"/>
          <w:szCs w:val="22"/>
        </w:rPr>
        <w:t>Affordable Housing – long term housing for moderate income households mostly reliant on low and casual wages</w:t>
      </w:r>
    </w:p>
    <w:p w14:paraId="61B4B18E" w14:textId="77777777" w:rsidR="00B764FC" w:rsidRDefault="00B764FC" w:rsidP="00433B20">
      <w:pPr>
        <w:pStyle w:val="ListParagraph"/>
        <w:numPr>
          <w:ilvl w:val="0"/>
          <w:numId w:val="46"/>
        </w:numPr>
        <w:spacing w:line="276" w:lineRule="auto"/>
        <w:jc w:val="both"/>
        <w:rPr>
          <w:sz w:val="22"/>
          <w:szCs w:val="22"/>
        </w:rPr>
      </w:pPr>
      <w:r>
        <w:rPr>
          <w:sz w:val="22"/>
          <w:szCs w:val="22"/>
        </w:rPr>
        <w:t>Crisis and transitional housing - provide to people experiencing homelessness.</w:t>
      </w:r>
    </w:p>
    <w:p w14:paraId="6C0C73F8" w14:textId="4101398D" w:rsidR="00B764FC" w:rsidRDefault="00B764FC" w:rsidP="00433B20">
      <w:pPr>
        <w:spacing w:before="240" w:line="276" w:lineRule="auto"/>
        <w:jc w:val="both"/>
      </w:pPr>
      <w:r>
        <w:rPr>
          <w:sz w:val="22"/>
          <w:szCs w:val="22"/>
        </w:rPr>
        <w:t>The relationship between affordable, social, public and community housing is shown in Figure 1, below</w:t>
      </w:r>
      <w:r>
        <w:t>.</w:t>
      </w:r>
    </w:p>
    <w:p w14:paraId="3DCB555E" w14:textId="6709A4AC" w:rsidR="00B764FC" w:rsidRDefault="003247FA">
      <w:pPr>
        <w:spacing w:line="276" w:lineRule="auto"/>
        <w:rPr>
          <w:b/>
          <w:bCs/>
          <w:noProof/>
          <w:color w:val="000000"/>
          <w:sz w:val="28"/>
          <w:szCs w:val="28"/>
        </w:rPr>
      </w:pPr>
      <w:r>
        <w:rPr>
          <w:noProof/>
          <w:lang w:eastAsia="en-AU"/>
        </w:rPr>
        <w:drawing>
          <wp:anchor distT="0" distB="0" distL="114300" distR="114300" simplePos="0" relativeHeight="251651584" behindDoc="0" locked="0" layoutInCell="0" allowOverlap="1" wp14:anchorId="3AA692A9" wp14:editId="780C4165">
            <wp:simplePos x="0" y="0"/>
            <wp:positionH relativeFrom="margin">
              <wp:align>right</wp:align>
            </wp:positionH>
            <wp:positionV relativeFrom="paragraph">
              <wp:posOffset>74295</wp:posOffset>
            </wp:positionV>
            <wp:extent cx="5856605" cy="2771775"/>
            <wp:effectExtent l="19050" t="19050" r="10795" b="28575"/>
            <wp:wrapNone/>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5860696" cy="2773711"/>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3C96BABC" w14:textId="72BED389" w:rsidR="00B764FC" w:rsidRDefault="00B764FC">
      <w:pPr>
        <w:spacing w:line="276" w:lineRule="auto"/>
        <w:rPr>
          <w:b/>
          <w:bCs/>
          <w:noProof/>
          <w:color w:val="000000"/>
          <w:sz w:val="28"/>
          <w:szCs w:val="28"/>
        </w:rPr>
      </w:pPr>
    </w:p>
    <w:p w14:paraId="7D8691FD" w14:textId="77777777" w:rsidR="00B764FC" w:rsidRDefault="00B764FC">
      <w:pPr>
        <w:spacing w:line="276" w:lineRule="auto"/>
        <w:rPr>
          <w:b/>
          <w:bCs/>
          <w:noProof/>
          <w:color w:val="000000"/>
          <w:sz w:val="28"/>
          <w:szCs w:val="28"/>
        </w:rPr>
      </w:pPr>
    </w:p>
    <w:p w14:paraId="2E9B92FE" w14:textId="77777777" w:rsidR="00B764FC" w:rsidRDefault="00B764FC">
      <w:pPr>
        <w:spacing w:line="276" w:lineRule="auto"/>
        <w:rPr>
          <w:b/>
          <w:bCs/>
          <w:noProof/>
          <w:color w:val="000000"/>
          <w:sz w:val="28"/>
          <w:szCs w:val="28"/>
        </w:rPr>
      </w:pPr>
    </w:p>
    <w:p w14:paraId="2162EC52" w14:textId="77777777" w:rsidR="00B764FC" w:rsidRDefault="00B764FC">
      <w:pPr>
        <w:spacing w:line="276" w:lineRule="auto"/>
        <w:rPr>
          <w:b/>
          <w:bCs/>
          <w:noProof/>
          <w:color w:val="000000"/>
          <w:sz w:val="28"/>
          <w:szCs w:val="28"/>
        </w:rPr>
      </w:pPr>
    </w:p>
    <w:p w14:paraId="6B10DBA8" w14:textId="77777777" w:rsidR="00B764FC" w:rsidRDefault="00B764FC">
      <w:pPr>
        <w:spacing w:line="276" w:lineRule="auto"/>
        <w:rPr>
          <w:b/>
          <w:bCs/>
          <w:noProof/>
          <w:color w:val="000000"/>
          <w:sz w:val="28"/>
          <w:szCs w:val="28"/>
        </w:rPr>
      </w:pPr>
    </w:p>
    <w:p w14:paraId="00C79C05" w14:textId="77777777" w:rsidR="00B764FC" w:rsidRDefault="00B764FC">
      <w:pPr>
        <w:spacing w:line="276" w:lineRule="auto"/>
        <w:rPr>
          <w:b/>
          <w:bCs/>
          <w:noProof/>
          <w:color w:val="000000"/>
          <w:sz w:val="28"/>
          <w:szCs w:val="28"/>
        </w:rPr>
      </w:pPr>
    </w:p>
    <w:p w14:paraId="04B91328" w14:textId="77777777" w:rsidR="00B764FC" w:rsidRDefault="00B764FC">
      <w:pPr>
        <w:spacing w:line="276" w:lineRule="auto"/>
        <w:rPr>
          <w:b/>
          <w:bCs/>
          <w:noProof/>
          <w:color w:val="000000"/>
          <w:sz w:val="28"/>
          <w:szCs w:val="28"/>
        </w:rPr>
      </w:pPr>
    </w:p>
    <w:p w14:paraId="4B20A6DF" w14:textId="77777777" w:rsidR="00B764FC" w:rsidRDefault="00B764FC">
      <w:pPr>
        <w:spacing w:line="276" w:lineRule="auto"/>
        <w:rPr>
          <w:b/>
          <w:bCs/>
          <w:noProof/>
          <w:color w:val="000000"/>
          <w:sz w:val="28"/>
          <w:szCs w:val="28"/>
        </w:rPr>
      </w:pPr>
    </w:p>
    <w:p w14:paraId="3EAE86F8" w14:textId="77777777" w:rsidR="00B764FC" w:rsidRDefault="00B764FC">
      <w:pPr>
        <w:spacing w:line="276" w:lineRule="auto"/>
        <w:rPr>
          <w:b/>
          <w:bCs/>
          <w:noProof/>
          <w:color w:val="000000"/>
          <w:sz w:val="28"/>
          <w:szCs w:val="28"/>
        </w:rPr>
      </w:pPr>
    </w:p>
    <w:p w14:paraId="487CBD66" w14:textId="77777777" w:rsidR="00B764FC" w:rsidRDefault="00B764FC">
      <w:pPr>
        <w:spacing w:line="276" w:lineRule="auto"/>
        <w:rPr>
          <w:b/>
          <w:bCs/>
          <w:color w:val="000000"/>
          <w:sz w:val="28"/>
          <w:szCs w:val="28"/>
        </w:rPr>
      </w:pPr>
    </w:p>
    <w:p w14:paraId="747ABBB5" w14:textId="77777777" w:rsidR="00B764FC" w:rsidRDefault="00B764FC">
      <w:pPr>
        <w:spacing w:line="276" w:lineRule="auto"/>
        <w:ind w:left="1134"/>
        <w:rPr>
          <w:b/>
          <w:bCs/>
          <w:color w:val="000000"/>
          <w:sz w:val="28"/>
          <w:szCs w:val="28"/>
        </w:rPr>
      </w:pPr>
    </w:p>
    <w:p w14:paraId="237FFDCD" w14:textId="63050510" w:rsidR="00B764FC" w:rsidRDefault="00EB3FE0">
      <w:pPr>
        <w:spacing w:line="276" w:lineRule="auto"/>
        <w:rPr>
          <w:sz w:val="20"/>
          <w:szCs w:val="20"/>
        </w:rPr>
      </w:pPr>
      <w:r w:rsidRPr="00433B20">
        <w:rPr>
          <w:noProof/>
          <w:lang w:eastAsia="en-AU"/>
        </w:rPr>
        <mc:AlternateContent>
          <mc:Choice Requires="wps">
            <w:drawing>
              <wp:anchor distT="0" distB="0" distL="114300" distR="114300" simplePos="0" relativeHeight="251652608" behindDoc="0" locked="0" layoutInCell="0" allowOverlap="1" wp14:anchorId="153DC11B" wp14:editId="04EEC02A">
                <wp:simplePos x="0" y="0"/>
                <wp:positionH relativeFrom="margin">
                  <wp:posOffset>31772860</wp:posOffset>
                </wp:positionH>
                <wp:positionV relativeFrom="paragraph">
                  <wp:posOffset>234950</wp:posOffset>
                </wp:positionV>
                <wp:extent cx="5850890" cy="255905"/>
                <wp:effectExtent l="0" t="0" r="1905" b="254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89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B57F5" w14:textId="56E8192A" w:rsidR="00944200" w:rsidRDefault="00944200">
                            <w:pPr>
                              <w:pStyle w:val="Caption"/>
                              <w:rPr>
                                <w:noProof/>
                              </w:rPr>
                            </w:pPr>
                            <w:bookmarkStart w:id="14" w:name="_Ref15916990"/>
                            <w:bookmarkStart w:id="15" w:name="_Toc22120088"/>
                            <w:r>
                              <w:t xml:space="preserve">Figure </w:t>
                            </w:r>
                            <w:r>
                              <w:rPr>
                                <w:noProof/>
                              </w:rPr>
                              <w:fldChar w:fldCharType="begin"/>
                            </w:r>
                            <w:r>
                              <w:rPr>
                                <w:noProof/>
                              </w:rPr>
                              <w:instrText xml:space="preserve"> SEQ Figure \* ARABIC </w:instrText>
                            </w:r>
                            <w:r>
                              <w:rPr>
                                <w:noProof/>
                              </w:rPr>
                              <w:fldChar w:fldCharType="separate"/>
                            </w:r>
                            <w:r w:rsidR="00BB479E">
                              <w:rPr>
                                <w:noProof/>
                              </w:rPr>
                              <w:t>1</w:t>
                            </w:r>
                            <w:r>
                              <w:rPr>
                                <w:noProof/>
                              </w:rPr>
                              <w:fldChar w:fldCharType="end"/>
                            </w:r>
                            <w:bookmarkEnd w:id="14"/>
                            <w:r>
                              <w:t>: Affordable, Social and Public Housing - Definitions</w:t>
                            </w:r>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DC11B" id="_x0000_t202" coordsize="21600,21600" o:spt="202" path="m,l,21600r21600,l21600,xe">
                <v:stroke joinstyle="miter"/>
                <v:path gradientshapeok="t" o:connecttype="rect"/>
              </v:shapetype>
              <v:shape id="Text Box 40" o:spid="_x0000_s1026" type="#_x0000_t202" style="position:absolute;margin-left:2501.8pt;margin-top:18.5pt;width:460.7pt;height:20.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" o:allowincell="f" stroked="f">
                <v:textbox inset="0,0,0,0">
                  <w:txbxContent>
                    <w:p w14:paraId="6D7B57F5" w14:textId="56E8192A" w:rsidR="00944200" w:rsidRDefault="00944200">
                      <w:pPr>
                        <w:pStyle w:val="Caption"/>
                        <w:rPr>
                          <w:noProof/>
                        </w:rPr>
                      </w:pPr>
                      <w:bookmarkStart w:id="16" w:name="_Ref15916990"/>
                      <w:bookmarkStart w:id="17" w:name="_Toc22120088"/>
                      <w:r>
                        <w:t xml:space="preserve">Figure </w:t>
                      </w:r>
                      <w:r>
                        <w:rPr>
                          <w:noProof/>
                        </w:rPr>
                        <w:fldChar w:fldCharType="begin"/>
                      </w:r>
                      <w:r>
                        <w:rPr>
                          <w:noProof/>
                        </w:rPr>
                        <w:instrText xml:space="preserve"> SEQ Figure \* ARABIC </w:instrText>
                      </w:r>
                      <w:r>
                        <w:rPr>
                          <w:noProof/>
                        </w:rPr>
                        <w:fldChar w:fldCharType="separate"/>
                      </w:r>
                      <w:r w:rsidR="00BB479E">
                        <w:rPr>
                          <w:noProof/>
                        </w:rPr>
                        <w:t>1</w:t>
                      </w:r>
                      <w:r>
                        <w:rPr>
                          <w:noProof/>
                        </w:rPr>
                        <w:fldChar w:fldCharType="end"/>
                      </w:r>
                      <w:bookmarkEnd w:id="16"/>
                      <w:r>
                        <w:t>: Affordable, Social and Public Housing - Definitions</w:t>
                      </w:r>
                      <w:bookmarkEnd w:id="17"/>
                    </w:p>
                  </w:txbxContent>
                </v:textbox>
                <w10:wrap anchorx="margin"/>
              </v:shape>
            </w:pict>
          </mc:Fallback>
        </mc:AlternateContent>
      </w:r>
      <w:r w:rsidR="00B764FC" w:rsidRPr="00433B20">
        <w:rPr>
          <w:i/>
          <w:iCs/>
          <w:sz w:val="20"/>
          <w:szCs w:val="20"/>
        </w:rPr>
        <w:t>Source</w:t>
      </w:r>
      <w:r w:rsidR="00B764FC" w:rsidRPr="00433B20">
        <w:rPr>
          <w:sz w:val="20"/>
          <w:szCs w:val="20"/>
        </w:rPr>
        <w:t xml:space="preserve">: Victorian Government DHHS, </w:t>
      </w:r>
      <w:r w:rsidR="00B764FC" w:rsidRPr="00433B20">
        <w:rPr>
          <w:i/>
          <w:iCs/>
          <w:sz w:val="20"/>
          <w:szCs w:val="20"/>
        </w:rPr>
        <w:t>Affordable Housing voluntary contributions: Public Housing as an Affordable Housing contribution</w:t>
      </w:r>
      <w:r w:rsidR="00B764FC" w:rsidRPr="00433B20">
        <w:rPr>
          <w:sz w:val="20"/>
          <w:szCs w:val="20"/>
        </w:rPr>
        <w:t>, June 2018</w:t>
      </w:r>
      <w:r w:rsidR="00B764FC">
        <w:rPr>
          <w:sz w:val="20"/>
          <w:szCs w:val="20"/>
        </w:rPr>
        <w:t xml:space="preserve"> </w:t>
      </w:r>
    </w:p>
    <w:p w14:paraId="52A01260" w14:textId="79B96E7A" w:rsidR="00433B20" w:rsidRDefault="00433B20">
      <w:pPr>
        <w:spacing w:line="276" w:lineRule="auto"/>
        <w:rPr>
          <w:sz w:val="20"/>
          <w:szCs w:val="20"/>
        </w:rPr>
      </w:pPr>
    </w:p>
    <w:p w14:paraId="2488719A" w14:textId="738F2C36" w:rsidR="00433B20" w:rsidRDefault="00433B20" w:rsidP="00433B20">
      <w:pPr>
        <w:tabs>
          <w:tab w:val="left" w:pos="993"/>
        </w:tabs>
        <w:spacing w:line="276" w:lineRule="auto"/>
        <w:jc w:val="both"/>
        <w:rPr>
          <w:b/>
          <w:bCs/>
          <w:sz w:val="20"/>
          <w:szCs w:val="20"/>
        </w:rPr>
      </w:pPr>
      <w:r>
        <w:rPr>
          <w:b/>
          <w:bCs/>
          <w:sz w:val="20"/>
          <w:szCs w:val="20"/>
        </w:rPr>
        <w:t xml:space="preserve">Please refer to </w:t>
      </w:r>
      <w:r w:rsidRPr="00F77331">
        <w:fldChar w:fldCharType="begin"/>
      </w:r>
      <w:r w:rsidRPr="00F77331">
        <w:instrText xml:space="preserve"> REF _Ref17385328 \h  \* MERGEFORMAT </w:instrText>
      </w:r>
      <w:r w:rsidRPr="00F77331">
        <w:fldChar w:fldCharType="separate"/>
      </w:r>
      <w:r w:rsidR="00BB479E" w:rsidRPr="00BB479E">
        <w:rPr>
          <w:b/>
          <w:bCs/>
          <w:sz w:val="20"/>
          <w:szCs w:val="20"/>
        </w:rPr>
        <w:t xml:space="preserve">Table </w:t>
      </w:r>
      <w:r w:rsidR="00BB479E" w:rsidRPr="00BB479E">
        <w:rPr>
          <w:b/>
          <w:bCs/>
          <w:noProof/>
          <w:sz w:val="20"/>
          <w:szCs w:val="20"/>
        </w:rPr>
        <w:t>21</w:t>
      </w:r>
      <w:r w:rsidRPr="00F77331">
        <w:fldChar w:fldCharType="end"/>
      </w:r>
      <w:r w:rsidRPr="00F77331">
        <w:rPr>
          <w:b/>
          <w:bCs/>
          <w:sz w:val="20"/>
          <w:szCs w:val="20"/>
        </w:rPr>
        <w:t xml:space="preserve">, p. </w:t>
      </w:r>
      <w:r w:rsidR="00F77331" w:rsidRPr="00F77331">
        <w:rPr>
          <w:b/>
          <w:bCs/>
          <w:sz w:val="20"/>
          <w:szCs w:val="20"/>
        </w:rPr>
        <w:t>83</w:t>
      </w:r>
      <w:r>
        <w:rPr>
          <w:b/>
          <w:bCs/>
          <w:sz w:val="20"/>
          <w:szCs w:val="20"/>
        </w:rPr>
        <w:t xml:space="preserve"> for a Glossary of Key Terms </w:t>
      </w:r>
    </w:p>
    <w:p w14:paraId="62388509" w14:textId="77777777" w:rsidR="003247FA" w:rsidRDefault="003247FA">
      <w:pPr>
        <w:spacing w:line="276" w:lineRule="auto"/>
        <w:rPr>
          <w:sz w:val="20"/>
          <w:szCs w:val="20"/>
        </w:rPr>
      </w:pPr>
    </w:p>
    <w:p w14:paraId="00385C72" w14:textId="77777777" w:rsidR="00B764FC" w:rsidRPr="00AE261C" w:rsidRDefault="00B764FC">
      <w:pPr>
        <w:pStyle w:val="Heading2"/>
      </w:pPr>
      <w:bookmarkStart w:id="18" w:name="_Toc22120154"/>
      <w:r w:rsidRPr="00AE261C">
        <w:lastRenderedPageBreak/>
        <w:t>2.2</w:t>
      </w:r>
      <w:r w:rsidRPr="00AE261C">
        <w:tab/>
        <w:t>Why is Social Housing so important?</w:t>
      </w:r>
      <w:bookmarkEnd w:id="18"/>
    </w:p>
    <w:p w14:paraId="0D3F3305" w14:textId="77777777" w:rsidR="00B764FC" w:rsidRDefault="00B764FC">
      <w:pPr>
        <w:spacing w:before="240" w:after="240" w:line="276" w:lineRule="auto"/>
        <w:jc w:val="both"/>
        <w:rPr>
          <w:sz w:val="22"/>
          <w:szCs w:val="22"/>
        </w:rPr>
      </w:pPr>
      <w:r>
        <w:rPr>
          <w:sz w:val="22"/>
          <w:szCs w:val="22"/>
        </w:rPr>
        <w:t xml:space="preserve">Social housing is housing for low income households, who are paying a high proportion of their income on rent, and who are struggling to meet the cost of living, due to their family circumstances, and/or as a result of unemployment, disability, poor health or other factors.  </w:t>
      </w:r>
    </w:p>
    <w:p w14:paraId="4C9503BC" w14:textId="77777777" w:rsidR="00B764FC" w:rsidRDefault="00B764FC">
      <w:pPr>
        <w:spacing w:after="240" w:line="276" w:lineRule="auto"/>
        <w:jc w:val="both"/>
        <w:rPr>
          <w:sz w:val="22"/>
          <w:szCs w:val="22"/>
        </w:rPr>
      </w:pPr>
      <w:r>
        <w:rPr>
          <w:sz w:val="22"/>
          <w:szCs w:val="22"/>
        </w:rPr>
        <w:t>Households who rely on government benefits (e.g. pensions, Newstart) as their primary source of income often find it difficult to meet rental payments, even if they receive rent assistance payments as part of their benefits.</w:t>
      </w:r>
    </w:p>
    <w:p w14:paraId="0BBD1F01" w14:textId="77777777" w:rsidR="00B764FC" w:rsidRDefault="00B764FC">
      <w:pPr>
        <w:spacing w:after="240" w:line="276" w:lineRule="auto"/>
        <w:jc w:val="both"/>
        <w:rPr>
          <w:sz w:val="22"/>
          <w:szCs w:val="22"/>
        </w:rPr>
      </w:pPr>
      <w:r>
        <w:rPr>
          <w:sz w:val="22"/>
          <w:szCs w:val="22"/>
        </w:rPr>
        <w:t>Some groups are particularly vulnerable.  For example, single parents seeking to provide adequate care for their children may struggle to earn sufficient income, young people on low incomes who leave their parental home; or older pensioners who are renting.</w:t>
      </w:r>
    </w:p>
    <w:p w14:paraId="715B1A24" w14:textId="77777777" w:rsidR="00B764FC" w:rsidRDefault="00B764FC">
      <w:pPr>
        <w:spacing w:after="240" w:line="276" w:lineRule="auto"/>
        <w:jc w:val="both"/>
        <w:rPr>
          <w:sz w:val="22"/>
          <w:szCs w:val="22"/>
        </w:rPr>
      </w:pPr>
      <w:r>
        <w:rPr>
          <w:sz w:val="22"/>
          <w:szCs w:val="22"/>
        </w:rPr>
        <w:t>Some people may be unable to pay rents, due to unexpected rent increases, financial difficulties, health issues or unemployment, and as a result find themselves without accommodation.  Other people may be forced to leave their home due to conflict and relationship breakdown, including family violence, and find it extremely difficult to access affordable rental properties.</w:t>
      </w:r>
    </w:p>
    <w:p w14:paraId="4F06BA6F" w14:textId="77777777" w:rsidR="00B764FC" w:rsidRDefault="00B764FC">
      <w:pPr>
        <w:spacing w:after="240" w:line="276" w:lineRule="auto"/>
        <w:jc w:val="both"/>
        <w:rPr>
          <w:sz w:val="22"/>
          <w:szCs w:val="22"/>
        </w:rPr>
      </w:pPr>
      <w:r>
        <w:rPr>
          <w:sz w:val="22"/>
          <w:szCs w:val="22"/>
        </w:rPr>
        <w:t>Households which cannot meet rental payments are forced to relocate to less appropriate accommodation, away from family, friends and other support networks. A poor rental history increases the difficulty of finding alternative accommodation in a competitive rental market, and some households experience discrimination in the private rental market.</w:t>
      </w:r>
    </w:p>
    <w:p w14:paraId="502B08C5" w14:textId="77777777" w:rsidR="00B764FC" w:rsidRDefault="00B764FC">
      <w:pPr>
        <w:spacing w:after="240" w:line="276" w:lineRule="auto"/>
        <w:jc w:val="both"/>
        <w:rPr>
          <w:sz w:val="22"/>
          <w:szCs w:val="22"/>
        </w:rPr>
      </w:pPr>
      <w:r>
        <w:rPr>
          <w:sz w:val="22"/>
          <w:szCs w:val="22"/>
        </w:rPr>
        <w:t>Some people experience homelessness for a period of time, staying temporarily with friends or relatives, living in substandard accommodation, or living on the streets. With the assistance of homelessness agencies and other support services to find alternative accommodation, the experience of homelessness may be short term.  This depends on the availability of suitable accommodation, and for some people, access to support services.  Some people who have experienced homelessness may be able to live independently with little additional support.  Others may require longer term support.</w:t>
      </w:r>
    </w:p>
    <w:p w14:paraId="1DFC3C3E" w14:textId="77777777" w:rsidR="00B764FC" w:rsidRDefault="00B764FC">
      <w:pPr>
        <w:spacing w:after="240" w:line="276" w:lineRule="auto"/>
        <w:jc w:val="both"/>
        <w:rPr>
          <w:sz w:val="22"/>
          <w:szCs w:val="22"/>
        </w:rPr>
      </w:pPr>
      <w:r>
        <w:rPr>
          <w:sz w:val="22"/>
          <w:szCs w:val="22"/>
        </w:rPr>
        <w:t>Whatever the circumstances the provision of social housing in the first instance is considered the most appropriate response to homelessness and the imminent threat of homelessness.  The ‘Housing First’ model is based on the principle that safe and secure housing should be quickly provided prior to, and not conditional upon, addressing other issues.  This is now the preferred approach to tackling homelessness in a number of jurisdictions – both nationally and internationally.</w:t>
      </w:r>
      <w:r>
        <w:rPr>
          <w:rStyle w:val="FootnoteReference"/>
          <w:sz w:val="22"/>
          <w:szCs w:val="22"/>
        </w:rPr>
        <w:footnoteReference w:id="4"/>
      </w:r>
    </w:p>
    <w:p w14:paraId="709FE5B8" w14:textId="77777777" w:rsidR="00B764FC" w:rsidRDefault="00B764FC">
      <w:pPr>
        <w:spacing w:after="240" w:line="276" w:lineRule="auto"/>
        <w:jc w:val="both"/>
        <w:rPr>
          <w:sz w:val="22"/>
          <w:szCs w:val="22"/>
        </w:rPr>
      </w:pPr>
    </w:p>
    <w:p w14:paraId="413CC3D2" w14:textId="77777777" w:rsidR="00B764FC" w:rsidRDefault="00B764FC">
      <w:pPr>
        <w:spacing w:after="240" w:line="276" w:lineRule="auto"/>
        <w:jc w:val="both"/>
        <w:rPr>
          <w:sz w:val="22"/>
          <w:szCs w:val="22"/>
        </w:rPr>
      </w:pPr>
    </w:p>
    <w:p w14:paraId="5331326B" w14:textId="77777777" w:rsidR="00B764FC" w:rsidRDefault="00B764FC">
      <w:pPr>
        <w:spacing w:after="240" w:line="276" w:lineRule="auto"/>
        <w:jc w:val="both"/>
        <w:rPr>
          <w:sz w:val="22"/>
          <w:szCs w:val="22"/>
        </w:rPr>
      </w:pPr>
      <w:r>
        <w:rPr>
          <w:b/>
          <w:bCs/>
          <w:sz w:val="22"/>
          <w:szCs w:val="22"/>
        </w:rPr>
        <w:lastRenderedPageBreak/>
        <w:t>In summary</w:t>
      </w:r>
      <w:r>
        <w:rPr>
          <w:sz w:val="22"/>
          <w:szCs w:val="22"/>
        </w:rPr>
        <w:t>, social housing can provide:</w:t>
      </w:r>
    </w:p>
    <w:p w14:paraId="216818A0" w14:textId="77777777" w:rsidR="00B764FC" w:rsidRDefault="00B764FC" w:rsidP="0054190D">
      <w:pPr>
        <w:pStyle w:val="ListParagraph"/>
        <w:numPr>
          <w:ilvl w:val="0"/>
          <w:numId w:val="67"/>
        </w:numPr>
        <w:spacing w:line="276" w:lineRule="auto"/>
        <w:jc w:val="both"/>
        <w:rPr>
          <w:sz w:val="22"/>
          <w:szCs w:val="22"/>
        </w:rPr>
      </w:pPr>
      <w:r>
        <w:rPr>
          <w:sz w:val="22"/>
          <w:szCs w:val="22"/>
        </w:rPr>
        <w:t>Improved access to secure housing and greater security of tenure</w:t>
      </w:r>
    </w:p>
    <w:p w14:paraId="31857F3A" w14:textId="77777777" w:rsidR="00B764FC" w:rsidRDefault="00B764FC" w:rsidP="0054190D">
      <w:pPr>
        <w:pStyle w:val="ListParagraph"/>
        <w:numPr>
          <w:ilvl w:val="0"/>
          <w:numId w:val="67"/>
        </w:numPr>
        <w:spacing w:line="276" w:lineRule="auto"/>
        <w:jc w:val="both"/>
        <w:rPr>
          <w:sz w:val="22"/>
          <w:szCs w:val="22"/>
        </w:rPr>
      </w:pPr>
      <w:r>
        <w:rPr>
          <w:sz w:val="22"/>
          <w:szCs w:val="22"/>
        </w:rPr>
        <w:t>Greater housing stability, providing a secure basis from which to access employment, education, and community services</w:t>
      </w:r>
    </w:p>
    <w:p w14:paraId="696EAA63" w14:textId="77777777" w:rsidR="00B764FC" w:rsidRDefault="00B764FC" w:rsidP="0054190D">
      <w:pPr>
        <w:pStyle w:val="ListParagraph"/>
        <w:numPr>
          <w:ilvl w:val="0"/>
          <w:numId w:val="67"/>
        </w:numPr>
        <w:spacing w:line="276" w:lineRule="auto"/>
        <w:jc w:val="both"/>
        <w:rPr>
          <w:sz w:val="22"/>
          <w:szCs w:val="22"/>
        </w:rPr>
      </w:pPr>
      <w:r>
        <w:rPr>
          <w:sz w:val="22"/>
          <w:szCs w:val="22"/>
        </w:rPr>
        <w:t>An enhanced quality of life, including improved health and welfare</w:t>
      </w:r>
    </w:p>
    <w:p w14:paraId="558B7B65" w14:textId="77777777" w:rsidR="00B764FC" w:rsidRDefault="00B764FC" w:rsidP="0054190D">
      <w:pPr>
        <w:pStyle w:val="ListParagraph"/>
        <w:numPr>
          <w:ilvl w:val="0"/>
          <w:numId w:val="67"/>
        </w:numPr>
        <w:spacing w:line="276" w:lineRule="auto"/>
        <w:jc w:val="both"/>
        <w:rPr>
          <w:sz w:val="22"/>
          <w:szCs w:val="22"/>
        </w:rPr>
      </w:pPr>
      <w:r>
        <w:rPr>
          <w:sz w:val="22"/>
          <w:szCs w:val="22"/>
        </w:rPr>
        <w:t>A reduction in homelessness</w:t>
      </w:r>
    </w:p>
    <w:p w14:paraId="6309ACF4" w14:textId="77777777" w:rsidR="00B764FC" w:rsidRDefault="00B764FC" w:rsidP="0054190D">
      <w:pPr>
        <w:pStyle w:val="ListParagraph"/>
        <w:numPr>
          <w:ilvl w:val="0"/>
          <w:numId w:val="67"/>
        </w:numPr>
        <w:spacing w:line="276" w:lineRule="auto"/>
        <w:jc w:val="both"/>
        <w:rPr>
          <w:sz w:val="22"/>
          <w:szCs w:val="22"/>
        </w:rPr>
      </w:pPr>
      <w:r>
        <w:rPr>
          <w:sz w:val="22"/>
          <w:szCs w:val="22"/>
        </w:rPr>
        <w:t>A reduction in demand for services for people experiencing homelessness</w:t>
      </w:r>
    </w:p>
    <w:p w14:paraId="053CEFA0" w14:textId="77777777" w:rsidR="00B764FC" w:rsidRDefault="00B764FC" w:rsidP="0054190D">
      <w:pPr>
        <w:pStyle w:val="ListParagraph"/>
        <w:numPr>
          <w:ilvl w:val="0"/>
          <w:numId w:val="67"/>
        </w:numPr>
        <w:spacing w:after="240" w:line="276" w:lineRule="auto"/>
        <w:jc w:val="both"/>
        <w:rPr>
          <w:sz w:val="22"/>
          <w:szCs w:val="22"/>
        </w:rPr>
      </w:pPr>
      <w:r>
        <w:rPr>
          <w:sz w:val="22"/>
          <w:szCs w:val="22"/>
        </w:rPr>
        <w:t>Access to support services for social housing tenants, which are designed to help stabilise tenancies.</w:t>
      </w:r>
    </w:p>
    <w:p w14:paraId="0DC17E95" w14:textId="77777777" w:rsidR="00B764FC" w:rsidRDefault="00B764FC">
      <w:pPr>
        <w:rPr>
          <w:sz w:val="22"/>
          <w:szCs w:val="22"/>
        </w:rPr>
      </w:pPr>
      <w:r>
        <w:rPr>
          <w:sz w:val="22"/>
          <w:szCs w:val="22"/>
        </w:rPr>
        <w:br w:type="page"/>
      </w:r>
    </w:p>
    <w:p w14:paraId="5321C91C" w14:textId="77777777" w:rsidR="00B764FC" w:rsidRPr="00AE261C" w:rsidRDefault="00B764FC">
      <w:pPr>
        <w:pStyle w:val="Heading2"/>
      </w:pPr>
      <w:bookmarkStart w:id="19" w:name="_Toc22120155"/>
      <w:r w:rsidRPr="00AE261C">
        <w:lastRenderedPageBreak/>
        <w:t>2.3</w:t>
      </w:r>
      <w:r w:rsidRPr="00AE261C">
        <w:tab/>
        <w:t>What does Social Housing look like?</w:t>
      </w:r>
      <w:bookmarkEnd w:id="19"/>
    </w:p>
    <w:p w14:paraId="522D0CBD" w14:textId="77777777" w:rsidR="00B764FC" w:rsidRDefault="00B764FC">
      <w:pPr>
        <w:spacing w:before="240" w:line="276" w:lineRule="auto"/>
        <w:jc w:val="both"/>
        <w:rPr>
          <w:sz w:val="22"/>
          <w:szCs w:val="22"/>
        </w:rPr>
      </w:pPr>
      <w:r>
        <w:rPr>
          <w:sz w:val="22"/>
          <w:szCs w:val="22"/>
        </w:rPr>
        <w:t>Social housing may take many forms, in response to the different housing needs of households in the population.  Current social housing is indistinguishable from other forms of housing in the community, and is constructed by mainstream builders, to a particular price point.</w:t>
      </w:r>
    </w:p>
    <w:p w14:paraId="254E9923" w14:textId="77777777" w:rsidR="00B764FC" w:rsidRDefault="00B764FC">
      <w:pPr>
        <w:spacing w:before="240" w:line="276" w:lineRule="auto"/>
        <w:jc w:val="both"/>
        <w:rPr>
          <w:sz w:val="22"/>
          <w:szCs w:val="22"/>
        </w:rPr>
      </w:pPr>
      <w:r>
        <w:rPr>
          <w:sz w:val="22"/>
          <w:szCs w:val="22"/>
        </w:rPr>
        <w:t>Social housing may be provided as single dwellings, distributed throughout the community.  Social housing may also be provided in multi-dwelling clusters (which could be located in courts), and could be single storey units, or two storey townhouses.  Some designs may facilitate interaction between residents, for example for older people or single parent families who can benefit from living in small communities.</w:t>
      </w:r>
    </w:p>
    <w:p w14:paraId="53558B76" w14:textId="77777777" w:rsidR="00B764FC" w:rsidRDefault="00B764FC">
      <w:pPr>
        <w:spacing w:before="240" w:line="276" w:lineRule="auto"/>
        <w:jc w:val="both"/>
        <w:rPr>
          <w:sz w:val="22"/>
          <w:szCs w:val="22"/>
        </w:rPr>
      </w:pPr>
      <w:r>
        <w:rPr>
          <w:sz w:val="22"/>
          <w:szCs w:val="22"/>
        </w:rPr>
        <w:t>Social housing may be included in mixed use apartment developments where there is a mixture of private and social housing, and/or private commercial space on the ground floor, depending on the location and zoning.</w:t>
      </w:r>
    </w:p>
    <w:p w14:paraId="13D40D1B" w14:textId="77777777" w:rsidR="00B764FC" w:rsidRDefault="00B764FC">
      <w:pPr>
        <w:spacing w:before="240" w:line="276" w:lineRule="auto"/>
        <w:jc w:val="both"/>
        <w:rPr>
          <w:sz w:val="22"/>
          <w:szCs w:val="22"/>
        </w:rPr>
      </w:pPr>
      <w:r>
        <w:rPr>
          <w:sz w:val="22"/>
          <w:szCs w:val="22"/>
        </w:rPr>
        <w:t>A small proportion of social housing may be designed specifically to assist people experiencing housing crises and homelessness, and include crisis and transitional accommodation.</w:t>
      </w:r>
    </w:p>
    <w:p w14:paraId="4907731D" w14:textId="77777777" w:rsidR="00B764FC" w:rsidRDefault="00B764FC">
      <w:pPr>
        <w:spacing w:before="240" w:line="276" w:lineRule="auto"/>
        <w:jc w:val="both"/>
        <w:rPr>
          <w:sz w:val="22"/>
          <w:szCs w:val="22"/>
        </w:rPr>
      </w:pPr>
      <w:r>
        <w:rPr>
          <w:sz w:val="22"/>
          <w:szCs w:val="22"/>
        </w:rPr>
        <w:t>Community consultation and data analysis undertaken for this project identified significant diversity in the types of households at risk, and requiring social housing across Geelong. ‘Housing needs’ vary in terms of dwelling size, built form, number of bedrooms, location, and disability access.</w:t>
      </w:r>
    </w:p>
    <w:p w14:paraId="3DD8031E" w14:textId="77777777" w:rsidR="00B764FC" w:rsidRDefault="00B764FC">
      <w:pPr>
        <w:rPr>
          <w:sz w:val="22"/>
          <w:szCs w:val="22"/>
        </w:rPr>
      </w:pPr>
      <w:r>
        <w:rPr>
          <w:sz w:val="22"/>
          <w:szCs w:val="22"/>
        </w:rPr>
        <w:br w:type="page"/>
      </w:r>
    </w:p>
    <w:p w14:paraId="22FC58BD" w14:textId="77777777" w:rsidR="00B764FC" w:rsidRPr="00AE261C" w:rsidRDefault="00B764FC">
      <w:pPr>
        <w:pStyle w:val="Heading2"/>
        <w:ind w:left="720" w:hanging="720"/>
      </w:pPr>
      <w:bookmarkStart w:id="20" w:name="_Toc22120156"/>
      <w:r w:rsidRPr="00AE261C">
        <w:lastRenderedPageBreak/>
        <w:t>2.4</w:t>
      </w:r>
      <w:r w:rsidRPr="00AE261C">
        <w:tab/>
        <w:t>What principles should be used in determining appropriate housing for low income households?</w:t>
      </w:r>
      <w:bookmarkEnd w:id="20"/>
    </w:p>
    <w:p w14:paraId="45E4FF09" w14:textId="77777777" w:rsidR="00B764FC" w:rsidRDefault="00B764FC">
      <w:pPr>
        <w:spacing w:before="240" w:after="240" w:line="276" w:lineRule="auto"/>
        <w:jc w:val="both"/>
        <w:rPr>
          <w:sz w:val="22"/>
          <w:szCs w:val="22"/>
        </w:rPr>
      </w:pPr>
      <w:r>
        <w:rPr>
          <w:sz w:val="22"/>
          <w:szCs w:val="22"/>
        </w:rPr>
        <w:t>Principles to be considered in determining appropriate housing for low income households are shown below.  These include parameters in the Victorian Government Ministerial Note (2018).</w:t>
      </w:r>
    </w:p>
    <w:p w14:paraId="7D18D4D5" w14:textId="59796B35" w:rsidR="00B764FC" w:rsidRDefault="00B764FC">
      <w:pPr>
        <w:pStyle w:val="Caption"/>
        <w:rPr>
          <w:b/>
          <w:bCs/>
        </w:rPr>
      </w:pPr>
      <w:bookmarkStart w:id="21" w:name="_Toc22120037"/>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2</w:t>
      </w:r>
      <w:r w:rsidR="00FF5CA4">
        <w:rPr>
          <w:b/>
          <w:bCs/>
        </w:rPr>
        <w:fldChar w:fldCharType="end"/>
      </w:r>
      <w:r>
        <w:rPr>
          <w:b/>
          <w:bCs/>
        </w:rPr>
        <w:t>:</w:t>
      </w:r>
      <w:r>
        <w:rPr>
          <w:b/>
          <w:bCs/>
        </w:rPr>
        <w:tab/>
        <w:t>Principles for consideration in developing social housing outcomes</w:t>
      </w:r>
      <w:bookmarkEnd w:id="21"/>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63"/>
        <w:gridCol w:w="3396"/>
        <w:gridCol w:w="4355"/>
      </w:tblGrid>
      <w:tr w:rsidR="00B764FC" w14:paraId="2ED87C2D" w14:textId="77777777" w:rsidTr="00AE261C">
        <w:trPr>
          <w:tblHeader/>
        </w:trPr>
        <w:tc>
          <w:tcPr>
            <w:tcW w:w="1463" w:type="dxa"/>
            <w:tcBorders>
              <w:left w:val="nil"/>
              <w:right w:val="nil"/>
            </w:tcBorders>
            <w:shd w:val="clear" w:color="auto" w:fill="002060"/>
          </w:tcPr>
          <w:p w14:paraId="3CA9E40B" w14:textId="77777777" w:rsidR="00B764FC" w:rsidRDefault="00B764FC">
            <w:pPr>
              <w:rPr>
                <w:b/>
                <w:bCs/>
                <w:color w:val="FFFFFF"/>
                <w:sz w:val="18"/>
                <w:szCs w:val="18"/>
              </w:rPr>
            </w:pPr>
            <w:r>
              <w:rPr>
                <w:b/>
                <w:bCs/>
                <w:color w:val="FFFFFF"/>
                <w:sz w:val="18"/>
                <w:szCs w:val="18"/>
              </w:rPr>
              <w:t>Parameter</w:t>
            </w:r>
          </w:p>
        </w:tc>
        <w:tc>
          <w:tcPr>
            <w:tcW w:w="3396" w:type="dxa"/>
            <w:tcBorders>
              <w:left w:val="nil"/>
              <w:right w:val="nil"/>
            </w:tcBorders>
            <w:shd w:val="clear" w:color="auto" w:fill="002060"/>
          </w:tcPr>
          <w:p w14:paraId="5C9E4CCA" w14:textId="77777777" w:rsidR="00B764FC" w:rsidRDefault="00B764FC">
            <w:pPr>
              <w:rPr>
                <w:b/>
                <w:bCs/>
                <w:color w:val="FFFFFF"/>
                <w:sz w:val="18"/>
                <w:szCs w:val="18"/>
              </w:rPr>
            </w:pPr>
            <w:r>
              <w:rPr>
                <w:b/>
                <w:bCs/>
                <w:color w:val="FFFFFF"/>
                <w:sz w:val="18"/>
                <w:szCs w:val="18"/>
              </w:rPr>
              <w:t>Principle</w:t>
            </w:r>
          </w:p>
        </w:tc>
        <w:tc>
          <w:tcPr>
            <w:tcW w:w="4355" w:type="dxa"/>
            <w:tcBorders>
              <w:left w:val="nil"/>
              <w:right w:val="nil"/>
            </w:tcBorders>
            <w:shd w:val="clear" w:color="auto" w:fill="002060"/>
          </w:tcPr>
          <w:p w14:paraId="3FF4D692" w14:textId="77777777" w:rsidR="00B764FC" w:rsidRDefault="00B764FC">
            <w:pPr>
              <w:rPr>
                <w:b/>
                <w:bCs/>
                <w:color w:val="FFFFFF"/>
                <w:sz w:val="18"/>
                <w:szCs w:val="18"/>
              </w:rPr>
            </w:pPr>
            <w:r>
              <w:rPr>
                <w:b/>
                <w:bCs/>
                <w:color w:val="FFFFFF"/>
                <w:sz w:val="18"/>
                <w:szCs w:val="18"/>
              </w:rPr>
              <w:t>Issues</w:t>
            </w:r>
          </w:p>
        </w:tc>
      </w:tr>
      <w:tr w:rsidR="00B764FC" w14:paraId="3FF689A0" w14:textId="77777777">
        <w:tc>
          <w:tcPr>
            <w:tcW w:w="1463" w:type="dxa"/>
            <w:tcBorders>
              <w:left w:val="nil"/>
              <w:right w:val="nil"/>
            </w:tcBorders>
            <w:vAlign w:val="center"/>
          </w:tcPr>
          <w:p w14:paraId="42209BB8" w14:textId="77777777" w:rsidR="00B764FC" w:rsidRDefault="00B764FC">
            <w:pPr>
              <w:rPr>
                <w:b/>
                <w:bCs/>
                <w:sz w:val="18"/>
                <w:szCs w:val="18"/>
              </w:rPr>
            </w:pPr>
            <w:r>
              <w:rPr>
                <w:b/>
                <w:bCs/>
                <w:sz w:val="18"/>
                <w:szCs w:val="18"/>
              </w:rPr>
              <w:t>Location</w:t>
            </w:r>
          </w:p>
        </w:tc>
        <w:tc>
          <w:tcPr>
            <w:tcW w:w="3396" w:type="dxa"/>
            <w:tcBorders>
              <w:left w:val="nil"/>
              <w:right w:val="nil"/>
            </w:tcBorders>
          </w:tcPr>
          <w:p w14:paraId="7802C5B8" w14:textId="77777777" w:rsidR="00B764FC" w:rsidRDefault="00B764FC">
            <w:pPr>
              <w:rPr>
                <w:sz w:val="18"/>
                <w:szCs w:val="18"/>
              </w:rPr>
            </w:pPr>
            <w:r>
              <w:rPr>
                <w:sz w:val="18"/>
                <w:szCs w:val="18"/>
              </w:rPr>
              <w:t>Housing should be located in reasonable proximity to the range of services the resident requires including retail, education, health, employment and transport.</w:t>
            </w:r>
          </w:p>
        </w:tc>
        <w:tc>
          <w:tcPr>
            <w:tcW w:w="4355" w:type="dxa"/>
            <w:tcBorders>
              <w:left w:val="nil"/>
              <w:right w:val="nil"/>
            </w:tcBorders>
          </w:tcPr>
          <w:p w14:paraId="1D6828EB" w14:textId="77777777" w:rsidR="00B764FC" w:rsidRDefault="00B764FC">
            <w:pPr>
              <w:rPr>
                <w:sz w:val="18"/>
                <w:szCs w:val="18"/>
              </w:rPr>
            </w:pPr>
            <w:r>
              <w:rPr>
                <w:sz w:val="18"/>
                <w:szCs w:val="18"/>
              </w:rPr>
              <w:t>Most low income households are reliant on public transport and therefore locations close to train stations and bus stops and which are in walking distance to local shops is important.</w:t>
            </w:r>
          </w:p>
        </w:tc>
      </w:tr>
      <w:tr w:rsidR="00B764FC" w14:paraId="7F6000E6" w14:textId="77777777" w:rsidTr="00692CCA">
        <w:tc>
          <w:tcPr>
            <w:tcW w:w="1463" w:type="dxa"/>
            <w:tcBorders>
              <w:left w:val="nil"/>
              <w:right w:val="nil"/>
            </w:tcBorders>
            <w:shd w:val="clear" w:color="auto" w:fill="F2F2F2" w:themeFill="background1" w:themeFillShade="F2"/>
            <w:vAlign w:val="center"/>
          </w:tcPr>
          <w:p w14:paraId="700A9930" w14:textId="77777777" w:rsidR="00B764FC" w:rsidRDefault="00B764FC">
            <w:pPr>
              <w:rPr>
                <w:b/>
                <w:bCs/>
                <w:sz w:val="18"/>
                <w:szCs w:val="18"/>
              </w:rPr>
            </w:pPr>
            <w:r>
              <w:rPr>
                <w:b/>
                <w:bCs/>
                <w:sz w:val="18"/>
                <w:szCs w:val="18"/>
              </w:rPr>
              <w:t>Design</w:t>
            </w:r>
          </w:p>
        </w:tc>
        <w:tc>
          <w:tcPr>
            <w:tcW w:w="3396" w:type="dxa"/>
            <w:tcBorders>
              <w:left w:val="nil"/>
              <w:right w:val="nil"/>
            </w:tcBorders>
            <w:shd w:val="clear" w:color="auto" w:fill="F2F2F2" w:themeFill="background1" w:themeFillShade="F2"/>
          </w:tcPr>
          <w:p w14:paraId="61A3AD03" w14:textId="77777777" w:rsidR="00B764FC" w:rsidRDefault="00B764FC">
            <w:pPr>
              <w:rPr>
                <w:sz w:val="18"/>
                <w:szCs w:val="18"/>
              </w:rPr>
            </w:pPr>
            <w:r>
              <w:rPr>
                <w:sz w:val="18"/>
                <w:szCs w:val="18"/>
              </w:rPr>
              <w:t>Housing should be designed to provide adequate space and amenity to minimise anxiety.</w:t>
            </w:r>
          </w:p>
        </w:tc>
        <w:tc>
          <w:tcPr>
            <w:tcW w:w="4355" w:type="dxa"/>
            <w:tcBorders>
              <w:left w:val="nil"/>
              <w:right w:val="nil"/>
            </w:tcBorders>
            <w:shd w:val="clear" w:color="auto" w:fill="F2F2F2" w:themeFill="background1" w:themeFillShade="F2"/>
          </w:tcPr>
          <w:p w14:paraId="5F313F8E" w14:textId="77777777" w:rsidR="00B764FC" w:rsidRDefault="00B764FC">
            <w:pPr>
              <w:rPr>
                <w:sz w:val="18"/>
                <w:szCs w:val="18"/>
              </w:rPr>
            </w:pPr>
            <w:r>
              <w:rPr>
                <w:sz w:val="18"/>
                <w:szCs w:val="18"/>
              </w:rPr>
              <w:t>Overcrowding is linked to mental health issues and family violence. For single people small homes may be appropriate but if dependent on shared living spaces may be counterproductive to mental health.</w:t>
            </w:r>
          </w:p>
        </w:tc>
      </w:tr>
      <w:tr w:rsidR="00B764FC" w14:paraId="725EA662" w14:textId="77777777">
        <w:tc>
          <w:tcPr>
            <w:tcW w:w="1463" w:type="dxa"/>
            <w:tcBorders>
              <w:left w:val="nil"/>
              <w:right w:val="nil"/>
            </w:tcBorders>
            <w:vAlign w:val="center"/>
          </w:tcPr>
          <w:p w14:paraId="210F815A" w14:textId="77777777" w:rsidR="00B764FC" w:rsidRDefault="00B764FC">
            <w:pPr>
              <w:rPr>
                <w:b/>
                <w:bCs/>
                <w:sz w:val="18"/>
                <w:szCs w:val="18"/>
              </w:rPr>
            </w:pPr>
            <w:r>
              <w:rPr>
                <w:b/>
                <w:bCs/>
                <w:sz w:val="18"/>
                <w:szCs w:val="18"/>
              </w:rPr>
              <w:t>Amenity</w:t>
            </w:r>
          </w:p>
        </w:tc>
        <w:tc>
          <w:tcPr>
            <w:tcW w:w="3396" w:type="dxa"/>
            <w:tcBorders>
              <w:left w:val="nil"/>
              <w:right w:val="nil"/>
            </w:tcBorders>
          </w:tcPr>
          <w:p w14:paraId="6AE20EAB" w14:textId="77777777" w:rsidR="00B764FC" w:rsidRDefault="00B764FC">
            <w:pPr>
              <w:rPr>
                <w:sz w:val="18"/>
                <w:szCs w:val="18"/>
              </w:rPr>
            </w:pPr>
            <w:r>
              <w:rPr>
                <w:sz w:val="18"/>
                <w:szCs w:val="18"/>
              </w:rPr>
              <w:t>Housing for low income households should not be too dissimilar in appearance to typical housing in the immediate neighbourhood.</w:t>
            </w:r>
          </w:p>
        </w:tc>
        <w:tc>
          <w:tcPr>
            <w:tcW w:w="4355" w:type="dxa"/>
            <w:tcBorders>
              <w:left w:val="nil"/>
              <w:right w:val="nil"/>
            </w:tcBorders>
          </w:tcPr>
          <w:p w14:paraId="7D59A011" w14:textId="77777777" w:rsidR="00B764FC" w:rsidRDefault="00B764FC">
            <w:pPr>
              <w:rPr>
                <w:sz w:val="18"/>
                <w:szCs w:val="18"/>
              </w:rPr>
            </w:pPr>
            <w:r>
              <w:rPr>
                <w:sz w:val="18"/>
                <w:szCs w:val="18"/>
              </w:rPr>
              <w:t>Low income households should not be stigmatised by their housing having a much lower amenity than neighbouring housing as this can lead to social isolation.</w:t>
            </w:r>
          </w:p>
        </w:tc>
      </w:tr>
      <w:tr w:rsidR="00B764FC" w14:paraId="4AE97D76" w14:textId="77777777" w:rsidTr="00692CCA">
        <w:tc>
          <w:tcPr>
            <w:tcW w:w="1463" w:type="dxa"/>
            <w:tcBorders>
              <w:left w:val="nil"/>
              <w:right w:val="nil"/>
            </w:tcBorders>
            <w:shd w:val="clear" w:color="auto" w:fill="F2F2F2" w:themeFill="background1" w:themeFillShade="F2"/>
            <w:vAlign w:val="center"/>
          </w:tcPr>
          <w:p w14:paraId="3421E155" w14:textId="77777777" w:rsidR="00B764FC" w:rsidRDefault="00B764FC">
            <w:pPr>
              <w:rPr>
                <w:b/>
                <w:bCs/>
                <w:sz w:val="18"/>
                <w:szCs w:val="18"/>
              </w:rPr>
            </w:pPr>
            <w:r>
              <w:rPr>
                <w:b/>
                <w:bCs/>
                <w:sz w:val="18"/>
                <w:szCs w:val="18"/>
              </w:rPr>
              <w:t>Form</w:t>
            </w:r>
          </w:p>
        </w:tc>
        <w:tc>
          <w:tcPr>
            <w:tcW w:w="3396" w:type="dxa"/>
            <w:tcBorders>
              <w:left w:val="nil"/>
              <w:right w:val="nil"/>
            </w:tcBorders>
            <w:shd w:val="clear" w:color="auto" w:fill="F2F2F2" w:themeFill="background1" w:themeFillShade="F2"/>
          </w:tcPr>
          <w:p w14:paraId="12CE4ABB" w14:textId="77777777" w:rsidR="00B764FC" w:rsidRDefault="00B764FC">
            <w:pPr>
              <w:rPr>
                <w:sz w:val="18"/>
                <w:szCs w:val="18"/>
              </w:rPr>
            </w:pPr>
            <w:r>
              <w:rPr>
                <w:sz w:val="18"/>
                <w:szCs w:val="18"/>
              </w:rPr>
              <w:t>Housing should be provided in a form which matches the life stage and amenity required by the household.</w:t>
            </w:r>
          </w:p>
        </w:tc>
        <w:tc>
          <w:tcPr>
            <w:tcW w:w="4355" w:type="dxa"/>
            <w:tcBorders>
              <w:left w:val="nil"/>
              <w:right w:val="nil"/>
            </w:tcBorders>
            <w:shd w:val="clear" w:color="auto" w:fill="F2F2F2" w:themeFill="background1" w:themeFillShade="F2"/>
          </w:tcPr>
          <w:p w14:paraId="0F159B0A" w14:textId="77777777" w:rsidR="00B764FC" w:rsidRDefault="00B764FC">
            <w:pPr>
              <w:rPr>
                <w:sz w:val="18"/>
                <w:szCs w:val="18"/>
              </w:rPr>
            </w:pPr>
            <w:r>
              <w:rPr>
                <w:sz w:val="18"/>
                <w:szCs w:val="18"/>
              </w:rPr>
              <w:t xml:space="preserve">High density housing will be suitable for smaller households and those with pre-school age children provided there are recreational areas close by but are unlikely to be appropriate for larger families with school age children. </w:t>
            </w:r>
          </w:p>
        </w:tc>
      </w:tr>
      <w:tr w:rsidR="00B764FC" w14:paraId="12DF82A1" w14:textId="77777777">
        <w:tc>
          <w:tcPr>
            <w:tcW w:w="1463" w:type="dxa"/>
            <w:tcBorders>
              <w:left w:val="nil"/>
              <w:right w:val="nil"/>
            </w:tcBorders>
            <w:vAlign w:val="center"/>
          </w:tcPr>
          <w:p w14:paraId="7A7F05DC" w14:textId="77777777" w:rsidR="00B764FC" w:rsidRDefault="00B764FC">
            <w:pPr>
              <w:rPr>
                <w:b/>
                <w:bCs/>
                <w:sz w:val="18"/>
                <w:szCs w:val="18"/>
              </w:rPr>
            </w:pPr>
            <w:r>
              <w:rPr>
                <w:b/>
                <w:bCs/>
                <w:sz w:val="18"/>
                <w:szCs w:val="18"/>
              </w:rPr>
              <w:t>Integration</w:t>
            </w:r>
          </w:p>
        </w:tc>
        <w:tc>
          <w:tcPr>
            <w:tcW w:w="3396" w:type="dxa"/>
            <w:tcBorders>
              <w:left w:val="nil"/>
              <w:right w:val="nil"/>
            </w:tcBorders>
          </w:tcPr>
          <w:p w14:paraId="7610BBA2" w14:textId="77777777" w:rsidR="00B764FC" w:rsidRDefault="00B764FC">
            <w:pPr>
              <w:rPr>
                <w:sz w:val="18"/>
                <w:szCs w:val="18"/>
              </w:rPr>
            </w:pPr>
            <w:r>
              <w:rPr>
                <w:sz w:val="18"/>
                <w:szCs w:val="18"/>
              </w:rPr>
              <w:t>Housing should offer the potential to live in a community that is stable, supportive and safe.</w:t>
            </w:r>
          </w:p>
        </w:tc>
        <w:tc>
          <w:tcPr>
            <w:tcW w:w="4355" w:type="dxa"/>
            <w:tcBorders>
              <w:left w:val="nil"/>
              <w:right w:val="nil"/>
            </w:tcBorders>
          </w:tcPr>
          <w:p w14:paraId="7AFB39A6" w14:textId="77777777" w:rsidR="00B764FC" w:rsidRDefault="00B764FC">
            <w:pPr>
              <w:rPr>
                <w:sz w:val="18"/>
                <w:szCs w:val="18"/>
              </w:rPr>
            </w:pPr>
            <w:r>
              <w:rPr>
                <w:sz w:val="18"/>
                <w:szCs w:val="18"/>
              </w:rPr>
              <w:t>Positive relationships with neighbours and sharing common interests with some neighbours can contribute to a sense of belonging and inclusion and enhance community sustainability.</w:t>
            </w:r>
          </w:p>
        </w:tc>
      </w:tr>
      <w:tr w:rsidR="00B764FC" w14:paraId="1C3CFB0D" w14:textId="77777777" w:rsidTr="00692CCA">
        <w:tc>
          <w:tcPr>
            <w:tcW w:w="1463" w:type="dxa"/>
            <w:tcBorders>
              <w:left w:val="nil"/>
              <w:right w:val="nil"/>
            </w:tcBorders>
            <w:shd w:val="clear" w:color="auto" w:fill="F2F2F2" w:themeFill="background1" w:themeFillShade="F2"/>
            <w:vAlign w:val="center"/>
          </w:tcPr>
          <w:p w14:paraId="23A30E91" w14:textId="77777777" w:rsidR="00B764FC" w:rsidRDefault="00B764FC">
            <w:pPr>
              <w:rPr>
                <w:b/>
                <w:bCs/>
                <w:sz w:val="18"/>
                <w:szCs w:val="18"/>
              </w:rPr>
            </w:pPr>
            <w:r>
              <w:rPr>
                <w:b/>
                <w:bCs/>
                <w:sz w:val="18"/>
                <w:szCs w:val="18"/>
              </w:rPr>
              <w:t>Affordability</w:t>
            </w:r>
          </w:p>
        </w:tc>
        <w:tc>
          <w:tcPr>
            <w:tcW w:w="3396" w:type="dxa"/>
            <w:tcBorders>
              <w:left w:val="nil"/>
              <w:right w:val="nil"/>
            </w:tcBorders>
            <w:shd w:val="clear" w:color="auto" w:fill="F2F2F2" w:themeFill="background1" w:themeFillShade="F2"/>
          </w:tcPr>
          <w:p w14:paraId="41728D5E" w14:textId="77777777" w:rsidR="00B764FC" w:rsidRDefault="00B764FC">
            <w:pPr>
              <w:rPr>
                <w:sz w:val="18"/>
                <w:szCs w:val="18"/>
              </w:rPr>
            </w:pPr>
            <w:r>
              <w:rPr>
                <w:sz w:val="18"/>
                <w:szCs w:val="18"/>
              </w:rPr>
              <w:t>Housing should be provided at a cost to the household that does not leave them with insufficient income to meet the other basics of life such as food, clothing, utilities, medical and education costs.</w:t>
            </w:r>
          </w:p>
        </w:tc>
        <w:tc>
          <w:tcPr>
            <w:tcW w:w="4355" w:type="dxa"/>
            <w:tcBorders>
              <w:left w:val="nil"/>
              <w:right w:val="nil"/>
            </w:tcBorders>
            <w:shd w:val="clear" w:color="auto" w:fill="F2F2F2" w:themeFill="background1" w:themeFillShade="F2"/>
          </w:tcPr>
          <w:p w14:paraId="62A62DEE" w14:textId="77777777" w:rsidR="00B764FC" w:rsidRDefault="00B764FC">
            <w:pPr>
              <w:rPr>
                <w:sz w:val="18"/>
                <w:szCs w:val="18"/>
              </w:rPr>
            </w:pPr>
            <w:r>
              <w:rPr>
                <w:sz w:val="18"/>
                <w:szCs w:val="18"/>
              </w:rPr>
              <w:t>This principle is well defined with the commonly accepted definition being that household costs should not exceed 30% of income for those households in the Very Low, Low and Moderate incomes categories.</w:t>
            </w:r>
          </w:p>
        </w:tc>
      </w:tr>
      <w:tr w:rsidR="00B764FC" w14:paraId="7A9CF30D" w14:textId="77777777">
        <w:tc>
          <w:tcPr>
            <w:tcW w:w="1463" w:type="dxa"/>
            <w:tcBorders>
              <w:left w:val="nil"/>
              <w:right w:val="nil"/>
            </w:tcBorders>
            <w:vAlign w:val="center"/>
          </w:tcPr>
          <w:p w14:paraId="6A77D14D" w14:textId="77777777" w:rsidR="00B764FC" w:rsidRDefault="00B764FC">
            <w:pPr>
              <w:rPr>
                <w:b/>
                <w:bCs/>
                <w:sz w:val="18"/>
                <w:szCs w:val="18"/>
              </w:rPr>
            </w:pPr>
            <w:r>
              <w:rPr>
                <w:b/>
                <w:bCs/>
                <w:sz w:val="18"/>
                <w:szCs w:val="18"/>
              </w:rPr>
              <w:t xml:space="preserve">Sustainability </w:t>
            </w:r>
          </w:p>
        </w:tc>
        <w:tc>
          <w:tcPr>
            <w:tcW w:w="3396" w:type="dxa"/>
            <w:tcBorders>
              <w:left w:val="nil"/>
              <w:right w:val="nil"/>
            </w:tcBorders>
          </w:tcPr>
          <w:p w14:paraId="11A55DED" w14:textId="77777777" w:rsidR="00B764FC" w:rsidRDefault="00B764FC">
            <w:pPr>
              <w:rPr>
                <w:sz w:val="18"/>
                <w:szCs w:val="18"/>
              </w:rPr>
            </w:pPr>
            <w:r>
              <w:rPr>
                <w:sz w:val="18"/>
                <w:szCs w:val="18"/>
              </w:rPr>
              <w:t>Housing should be designed so that the costs associated with living in the dwelling such as utilities and maintenance are minimised.</w:t>
            </w:r>
          </w:p>
        </w:tc>
        <w:tc>
          <w:tcPr>
            <w:tcW w:w="4355" w:type="dxa"/>
            <w:tcBorders>
              <w:left w:val="nil"/>
              <w:right w:val="nil"/>
            </w:tcBorders>
          </w:tcPr>
          <w:p w14:paraId="1011169B" w14:textId="77777777" w:rsidR="00B764FC" w:rsidRDefault="00B764FC">
            <w:pPr>
              <w:rPr>
                <w:sz w:val="18"/>
                <w:szCs w:val="18"/>
              </w:rPr>
            </w:pPr>
            <w:r>
              <w:rPr>
                <w:sz w:val="18"/>
                <w:szCs w:val="18"/>
              </w:rPr>
              <w:t xml:space="preserve">The cost of construction is often reduced through the use of lower cost materials however these may result in an increase in maintenance costs over time (undermining long term viability for the provider) and/or a reduction in environmental efficiency/ energy (increasing the living costs for the resident). </w:t>
            </w:r>
          </w:p>
        </w:tc>
      </w:tr>
      <w:tr w:rsidR="00B764FC" w14:paraId="0429915A" w14:textId="77777777" w:rsidTr="00692CCA">
        <w:tc>
          <w:tcPr>
            <w:tcW w:w="1463" w:type="dxa"/>
            <w:tcBorders>
              <w:left w:val="nil"/>
              <w:right w:val="nil"/>
            </w:tcBorders>
            <w:shd w:val="clear" w:color="auto" w:fill="F2F2F2" w:themeFill="background1" w:themeFillShade="F2"/>
            <w:vAlign w:val="center"/>
          </w:tcPr>
          <w:p w14:paraId="72252325" w14:textId="77777777" w:rsidR="00B764FC" w:rsidRDefault="00B764FC">
            <w:pPr>
              <w:rPr>
                <w:b/>
                <w:bCs/>
                <w:sz w:val="18"/>
                <w:szCs w:val="18"/>
              </w:rPr>
            </w:pPr>
            <w:r>
              <w:rPr>
                <w:b/>
                <w:bCs/>
                <w:sz w:val="18"/>
                <w:szCs w:val="18"/>
              </w:rPr>
              <w:t>Support</w:t>
            </w:r>
          </w:p>
        </w:tc>
        <w:tc>
          <w:tcPr>
            <w:tcW w:w="3396" w:type="dxa"/>
            <w:tcBorders>
              <w:left w:val="nil"/>
              <w:right w:val="nil"/>
            </w:tcBorders>
            <w:shd w:val="clear" w:color="auto" w:fill="F2F2F2" w:themeFill="background1" w:themeFillShade="F2"/>
          </w:tcPr>
          <w:p w14:paraId="15C2322A" w14:textId="77777777" w:rsidR="00B764FC" w:rsidRDefault="00B764FC">
            <w:pPr>
              <w:rPr>
                <w:sz w:val="18"/>
                <w:szCs w:val="18"/>
              </w:rPr>
            </w:pPr>
            <w:r>
              <w:rPr>
                <w:sz w:val="18"/>
                <w:szCs w:val="18"/>
              </w:rPr>
              <w:t>Housing should be linked to support services which are appropriate to household members and which enable them to maintain a stable tenancy.</w:t>
            </w:r>
          </w:p>
        </w:tc>
        <w:tc>
          <w:tcPr>
            <w:tcW w:w="4355" w:type="dxa"/>
            <w:tcBorders>
              <w:left w:val="nil"/>
              <w:right w:val="nil"/>
            </w:tcBorders>
            <w:shd w:val="clear" w:color="auto" w:fill="F2F2F2" w:themeFill="background1" w:themeFillShade="F2"/>
          </w:tcPr>
          <w:p w14:paraId="560B2224" w14:textId="77777777" w:rsidR="00B764FC" w:rsidRDefault="00B764FC">
            <w:pPr>
              <w:rPr>
                <w:sz w:val="18"/>
                <w:szCs w:val="18"/>
              </w:rPr>
            </w:pPr>
            <w:r>
              <w:rPr>
                <w:sz w:val="18"/>
                <w:szCs w:val="18"/>
              </w:rPr>
              <w:t xml:space="preserve">Secure and affordable housing will automatically contribute to housing stability however some people such as those with significant physical disabilities and people with acute mental health problems may require ongoing or periodic professional support to assist them maintain their accommodation. </w:t>
            </w:r>
          </w:p>
        </w:tc>
      </w:tr>
    </w:tbl>
    <w:p w14:paraId="49B9EE1B" w14:textId="77777777" w:rsidR="00B764FC" w:rsidRDefault="00B764FC">
      <w:pPr>
        <w:rPr>
          <w:sz w:val="18"/>
          <w:szCs w:val="18"/>
        </w:rPr>
      </w:pPr>
      <w:r>
        <w:rPr>
          <w:sz w:val="18"/>
          <w:szCs w:val="18"/>
        </w:rPr>
        <w:t>NB: When applying these Principles to certain social groups a range of ‘service models’ are used, e.g. the Youth Foyer model has a proven track record of not only housing young people at risk of homelessness but linking them with training and employment opportunities.</w:t>
      </w:r>
      <w:r>
        <w:rPr>
          <w:rStyle w:val="FootnoteReference"/>
          <w:sz w:val="18"/>
          <w:szCs w:val="18"/>
        </w:rPr>
        <w:footnoteReference w:id="5"/>
      </w:r>
      <w:r>
        <w:rPr>
          <w:sz w:val="18"/>
          <w:szCs w:val="18"/>
        </w:rPr>
        <w:t>.</w:t>
      </w:r>
    </w:p>
    <w:p w14:paraId="7CF0556D" w14:textId="77777777" w:rsidR="00B764FC" w:rsidRDefault="00B764FC">
      <w:pPr>
        <w:rPr>
          <w:sz w:val="18"/>
          <w:szCs w:val="18"/>
        </w:rPr>
      </w:pPr>
      <w:r>
        <w:rPr>
          <w:sz w:val="18"/>
          <w:szCs w:val="18"/>
        </w:rPr>
        <w:br w:type="page"/>
      </w:r>
    </w:p>
    <w:p w14:paraId="2B0A2BB6" w14:textId="77777777" w:rsidR="00B764FC" w:rsidRPr="00AE261C" w:rsidRDefault="00B764FC">
      <w:pPr>
        <w:pStyle w:val="Heading2"/>
      </w:pPr>
      <w:bookmarkStart w:id="22" w:name="_Toc22120157"/>
      <w:r w:rsidRPr="00AE261C">
        <w:lastRenderedPageBreak/>
        <w:t>2.5</w:t>
      </w:r>
      <w:r w:rsidRPr="00AE261C">
        <w:tab/>
        <w:t>What is the development model for social housing?</w:t>
      </w:r>
      <w:bookmarkEnd w:id="22"/>
    </w:p>
    <w:p w14:paraId="403BBB5C" w14:textId="77777777" w:rsidR="00B764FC" w:rsidRDefault="00B764FC">
      <w:pPr>
        <w:spacing w:before="240" w:after="240" w:line="276" w:lineRule="auto"/>
        <w:jc w:val="both"/>
        <w:rPr>
          <w:sz w:val="22"/>
          <w:szCs w:val="22"/>
        </w:rPr>
      </w:pPr>
      <w:r>
        <w:rPr>
          <w:sz w:val="22"/>
          <w:szCs w:val="22"/>
        </w:rPr>
        <w:t>There are four main parameters which need to be decided when developing social housing, as shown in Table 3.  Key to any growth in social housing is the ability to access the subsidies necessary to make the housing financially viable and sustainable over the long term.</w:t>
      </w:r>
    </w:p>
    <w:p w14:paraId="4E8F94E2" w14:textId="0A861712" w:rsidR="00B764FC" w:rsidRDefault="00B764FC">
      <w:pPr>
        <w:pStyle w:val="Caption"/>
        <w:rPr>
          <w:b/>
          <w:bCs/>
        </w:rPr>
      </w:pPr>
      <w:bookmarkStart w:id="23" w:name="_Toc22120038"/>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3</w:t>
      </w:r>
      <w:r w:rsidR="00FF5CA4">
        <w:rPr>
          <w:b/>
          <w:bCs/>
        </w:rPr>
        <w:fldChar w:fldCharType="end"/>
      </w:r>
      <w:r>
        <w:rPr>
          <w:b/>
          <w:bCs/>
        </w:rPr>
        <w:t>:</w:t>
      </w:r>
      <w:r>
        <w:rPr>
          <w:b/>
          <w:bCs/>
        </w:rPr>
        <w:tab/>
        <w:t>Parameters for consideration in developing social housing outcomes</w:t>
      </w:r>
      <w:bookmarkEnd w:id="23"/>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54"/>
        <w:gridCol w:w="3151"/>
        <w:gridCol w:w="4609"/>
      </w:tblGrid>
      <w:tr w:rsidR="00B764FC" w14:paraId="21411E50" w14:textId="77777777" w:rsidTr="00AE261C">
        <w:trPr>
          <w:tblHeader/>
        </w:trPr>
        <w:tc>
          <w:tcPr>
            <w:tcW w:w="1454" w:type="dxa"/>
            <w:tcBorders>
              <w:left w:val="nil"/>
              <w:right w:val="nil"/>
            </w:tcBorders>
            <w:shd w:val="clear" w:color="auto" w:fill="002060"/>
          </w:tcPr>
          <w:p w14:paraId="754F817B" w14:textId="77777777" w:rsidR="00B764FC" w:rsidRDefault="00B764FC">
            <w:pPr>
              <w:rPr>
                <w:b/>
                <w:bCs/>
                <w:color w:val="FFFFFF"/>
                <w:sz w:val="20"/>
                <w:szCs w:val="20"/>
              </w:rPr>
            </w:pPr>
            <w:r>
              <w:rPr>
                <w:b/>
                <w:bCs/>
                <w:color w:val="FFFFFF"/>
                <w:sz w:val="20"/>
                <w:szCs w:val="20"/>
              </w:rPr>
              <w:t>Parameter</w:t>
            </w:r>
          </w:p>
        </w:tc>
        <w:tc>
          <w:tcPr>
            <w:tcW w:w="3151" w:type="dxa"/>
            <w:tcBorders>
              <w:left w:val="nil"/>
              <w:right w:val="nil"/>
            </w:tcBorders>
            <w:shd w:val="clear" w:color="auto" w:fill="002060"/>
          </w:tcPr>
          <w:p w14:paraId="062754A8" w14:textId="77777777" w:rsidR="00B764FC" w:rsidRDefault="00B764FC">
            <w:pPr>
              <w:rPr>
                <w:b/>
                <w:bCs/>
                <w:color w:val="FFFFFF"/>
                <w:sz w:val="20"/>
                <w:szCs w:val="20"/>
              </w:rPr>
            </w:pPr>
            <w:r>
              <w:rPr>
                <w:b/>
                <w:bCs/>
                <w:color w:val="FFFFFF"/>
                <w:sz w:val="20"/>
                <w:szCs w:val="20"/>
              </w:rPr>
              <w:t>Issue</w:t>
            </w:r>
          </w:p>
        </w:tc>
        <w:tc>
          <w:tcPr>
            <w:tcW w:w="4609" w:type="dxa"/>
            <w:tcBorders>
              <w:left w:val="nil"/>
              <w:right w:val="nil"/>
            </w:tcBorders>
            <w:shd w:val="clear" w:color="auto" w:fill="002060"/>
          </w:tcPr>
          <w:p w14:paraId="2DE76602" w14:textId="77777777" w:rsidR="00B764FC" w:rsidRDefault="00B764FC">
            <w:pPr>
              <w:rPr>
                <w:b/>
                <w:bCs/>
                <w:color w:val="FFFFFF"/>
                <w:sz w:val="20"/>
                <w:szCs w:val="20"/>
              </w:rPr>
            </w:pPr>
            <w:r>
              <w:rPr>
                <w:b/>
                <w:bCs/>
                <w:color w:val="FFFFFF"/>
                <w:sz w:val="20"/>
                <w:szCs w:val="20"/>
              </w:rPr>
              <w:t>Options</w:t>
            </w:r>
          </w:p>
        </w:tc>
      </w:tr>
      <w:tr w:rsidR="00B764FC" w14:paraId="163E7C08" w14:textId="77777777">
        <w:tc>
          <w:tcPr>
            <w:tcW w:w="1454" w:type="dxa"/>
            <w:tcBorders>
              <w:left w:val="nil"/>
              <w:right w:val="nil"/>
            </w:tcBorders>
            <w:vAlign w:val="center"/>
          </w:tcPr>
          <w:p w14:paraId="5A34B6C2" w14:textId="77777777" w:rsidR="00B764FC" w:rsidRDefault="00B764FC">
            <w:pPr>
              <w:rPr>
                <w:b/>
                <w:bCs/>
                <w:sz w:val="20"/>
                <w:szCs w:val="20"/>
              </w:rPr>
            </w:pPr>
            <w:r>
              <w:rPr>
                <w:b/>
                <w:bCs/>
                <w:sz w:val="20"/>
                <w:szCs w:val="20"/>
              </w:rPr>
              <w:t>Finance</w:t>
            </w:r>
          </w:p>
        </w:tc>
        <w:tc>
          <w:tcPr>
            <w:tcW w:w="3151" w:type="dxa"/>
            <w:tcBorders>
              <w:left w:val="nil"/>
              <w:right w:val="nil"/>
            </w:tcBorders>
            <w:vAlign w:val="center"/>
          </w:tcPr>
          <w:p w14:paraId="33540632" w14:textId="77777777" w:rsidR="00B764FC" w:rsidRDefault="00B764FC">
            <w:pPr>
              <w:rPr>
                <w:sz w:val="20"/>
                <w:szCs w:val="20"/>
              </w:rPr>
            </w:pPr>
            <w:r>
              <w:rPr>
                <w:sz w:val="20"/>
                <w:szCs w:val="20"/>
              </w:rPr>
              <w:t>What is the most appropriate method of financing the development?</w:t>
            </w:r>
          </w:p>
        </w:tc>
        <w:tc>
          <w:tcPr>
            <w:tcW w:w="4609" w:type="dxa"/>
            <w:tcBorders>
              <w:left w:val="nil"/>
              <w:right w:val="nil"/>
            </w:tcBorders>
          </w:tcPr>
          <w:p w14:paraId="397E7E36" w14:textId="77777777" w:rsidR="00B764FC" w:rsidRDefault="00B764FC">
            <w:pPr>
              <w:rPr>
                <w:sz w:val="20"/>
                <w:szCs w:val="20"/>
              </w:rPr>
            </w:pPr>
            <w:r>
              <w:rPr>
                <w:sz w:val="20"/>
                <w:szCs w:val="20"/>
              </w:rPr>
              <w:t xml:space="preserve">The main options are community contributions, government grants, and/or bank debt. Community contributions generally only cover a small proportion of the cost of development. </w:t>
            </w:r>
          </w:p>
          <w:p w14:paraId="44BCB37C" w14:textId="77777777" w:rsidR="00B764FC" w:rsidRDefault="00B764FC">
            <w:pPr>
              <w:rPr>
                <w:sz w:val="20"/>
                <w:szCs w:val="20"/>
              </w:rPr>
            </w:pPr>
            <w:r>
              <w:rPr>
                <w:sz w:val="20"/>
                <w:szCs w:val="20"/>
              </w:rPr>
              <w:t>Private equity is an unlikely source due to low returns and lack of control.</w:t>
            </w:r>
          </w:p>
        </w:tc>
      </w:tr>
      <w:tr w:rsidR="00B764FC" w14:paraId="3613A487" w14:textId="77777777" w:rsidTr="00692CCA">
        <w:tc>
          <w:tcPr>
            <w:tcW w:w="1454" w:type="dxa"/>
            <w:tcBorders>
              <w:left w:val="nil"/>
              <w:right w:val="nil"/>
            </w:tcBorders>
            <w:shd w:val="clear" w:color="auto" w:fill="F2F2F2" w:themeFill="background1" w:themeFillShade="F2"/>
            <w:vAlign w:val="center"/>
          </w:tcPr>
          <w:p w14:paraId="76290C87" w14:textId="77777777" w:rsidR="00B764FC" w:rsidRDefault="00B764FC">
            <w:pPr>
              <w:rPr>
                <w:b/>
                <w:bCs/>
                <w:sz w:val="20"/>
                <w:szCs w:val="20"/>
              </w:rPr>
            </w:pPr>
            <w:r>
              <w:rPr>
                <w:b/>
                <w:bCs/>
                <w:sz w:val="20"/>
                <w:szCs w:val="20"/>
              </w:rPr>
              <w:t>Subsidy</w:t>
            </w:r>
          </w:p>
        </w:tc>
        <w:tc>
          <w:tcPr>
            <w:tcW w:w="3151" w:type="dxa"/>
            <w:tcBorders>
              <w:left w:val="nil"/>
              <w:right w:val="nil"/>
            </w:tcBorders>
            <w:shd w:val="clear" w:color="auto" w:fill="F2F2F2" w:themeFill="background1" w:themeFillShade="F2"/>
            <w:vAlign w:val="center"/>
          </w:tcPr>
          <w:p w14:paraId="1FD29E24" w14:textId="77777777" w:rsidR="00B764FC" w:rsidRDefault="00B764FC">
            <w:pPr>
              <w:rPr>
                <w:sz w:val="20"/>
                <w:szCs w:val="20"/>
              </w:rPr>
            </w:pPr>
            <w:r>
              <w:rPr>
                <w:sz w:val="20"/>
                <w:szCs w:val="20"/>
              </w:rPr>
              <w:t>What is the scale and form of the subsidy necessary to ensure the long-term sustainability of the agreed response?</w:t>
            </w:r>
          </w:p>
        </w:tc>
        <w:tc>
          <w:tcPr>
            <w:tcW w:w="4609" w:type="dxa"/>
            <w:tcBorders>
              <w:left w:val="nil"/>
              <w:right w:val="nil"/>
            </w:tcBorders>
            <w:shd w:val="clear" w:color="auto" w:fill="F2F2F2" w:themeFill="background1" w:themeFillShade="F2"/>
          </w:tcPr>
          <w:p w14:paraId="6E0991BC" w14:textId="77777777" w:rsidR="00B764FC" w:rsidRDefault="00B764FC">
            <w:pPr>
              <w:rPr>
                <w:sz w:val="20"/>
                <w:szCs w:val="20"/>
              </w:rPr>
            </w:pPr>
            <w:r>
              <w:rPr>
                <w:sz w:val="20"/>
                <w:szCs w:val="20"/>
              </w:rPr>
              <w:t xml:space="preserve">There are only two revenue streams for the operation of a social housing model – rental revenue and operating subsidies. </w:t>
            </w:r>
          </w:p>
          <w:p w14:paraId="0028BE28" w14:textId="77777777" w:rsidR="00B764FC" w:rsidRDefault="00B764FC">
            <w:pPr>
              <w:rPr>
                <w:sz w:val="20"/>
                <w:szCs w:val="20"/>
              </w:rPr>
            </w:pPr>
            <w:r>
              <w:rPr>
                <w:sz w:val="20"/>
                <w:szCs w:val="20"/>
              </w:rPr>
              <w:t xml:space="preserve">The size of the subsidy is strongly related to the cost of finance.  Other costs are generally fixed. </w:t>
            </w:r>
          </w:p>
        </w:tc>
      </w:tr>
      <w:tr w:rsidR="00B764FC" w14:paraId="602B0566" w14:textId="77777777">
        <w:tc>
          <w:tcPr>
            <w:tcW w:w="1454" w:type="dxa"/>
            <w:tcBorders>
              <w:left w:val="nil"/>
              <w:right w:val="nil"/>
            </w:tcBorders>
            <w:vAlign w:val="center"/>
          </w:tcPr>
          <w:p w14:paraId="2A9B9807" w14:textId="77777777" w:rsidR="00B764FC" w:rsidRDefault="00B764FC">
            <w:pPr>
              <w:rPr>
                <w:b/>
                <w:bCs/>
                <w:sz w:val="20"/>
                <w:szCs w:val="20"/>
              </w:rPr>
            </w:pPr>
            <w:r>
              <w:rPr>
                <w:b/>
                <w:bCs/>
                <w:sz w:val="20"/>
                <w:szCs w:val="20"/>
              </w:rPr>
              <w:t>Ownership</w:t>
            </w:r>
          </w:p>
        </w:tc>
        <w:tc>
          <w:tcPr>
            <w:tcW w:w="3151" w:type="dxa"/>
            <w:tcBorders>
              <w:left w:val="nil"/>
              <w:right w:val="nil"/>
            </w:tcBorders>
            <w:vAlign w:val="center"/>
          </w:tcPr>
          <w:p w14:paraId="2E240342" w14:textId="77777777" w:rsidR="00B764FC" w:rsidRDefault="00B764FC">
            <w:pPr>
              <w:rPr>
                <w:sz w:val="20"/>
                <w:szCs w:val="20"/>
              </w:rPr>
            </w:pPr>
            <w:r>
              <w:rPr>
                <w:sz w:val="20"/>
                <w:szCs w:val="20"/>
              </w:rPr>
              <w:t>What legal entity is the most appropriate to own the social housing?</w:t>
            </w:r>
          </w:p>
        </w:tc>
        <w:tc>
          <w:tcPr>
            <w:tcW w:w="4609" w:type="dxa"/>
            <w:tcBorders>
              <w:left w:val="nil"/>
              <w:right w:val="nil"/>
            </w:tcBorders>
          </w:tcPr>
          <w:p w14:paraId="369DD617" w14:textId="77777777" w:rsidR="00B764FC" w:rsidRDefault="00B764FC">
            <w:pPr>
              <w:rPr>
                <w:sz w:val="20"/>
                <w:szCs w:val="20"/>
              </w:rPr>
            </w:pPr>
            <w:r>
              <w:rPr>
                <w:sz w:val="20"/>
                <w:szCs w:val="20"/>
              </w:rPr>
              <w:t>Ownership will depend on who carries the risk of the project, and in particular who owns the debt and is providing security for the debt.</w:t>
            </w:r>
          </w:p>
        </w:tc>
      </w:tr>
      <w:tr w:rsidR="00B764FC" w14:paraId="5B9EC7C6" w14:textId="77777777" w:rsidTr="00692CCA">
        <w:tc>
          <w:tcPr>
            <w:tcW w:w="1454" w:type="dxa"/>
            <w:tcBorders>
              <w:left w:val="nil"/>
              <w:right w:val="nil"/>
            </w:tcBorders>
            <w:shd w:val="clear" w:color="auto" w:fill="F2F2F2" w:themeFill="background1" w:themeFillShade="F2"/>
            <w:vAlign w:val="center"/>
          </w:tcPr>
          <w:p w14:paraId="6D7AFA1C" w14:textId="77777777" w:rsidR="00B764FC" w:rsidRDefault="00B764FC">
            <w:pPr>
              <w:rPr>
                <w:b/>
                <w:bCs/>
                <w:sz w:val="20"/>
                <w:szCs w:val="20"/>
              </w:rPr>
            </w:pPr>
            <w:r>
              <w:rPr>
                <w:b/>
                <w:bCs/>
                <w:sz w:val="20"/>
                <w:szCs w:val="20"/>
              </w:rPr>
              <w:t xml:space="preserve">Management </w:t>
            </w:r>
          </w:p>
        </w:tc>
        <w:tc>
          <w:tcPr>
            <w:tcW w:w="3151" w:type="dxa"/>
            <w:tcBorders>
              <w:left w:val="nil"/>
              <w:right w:val="nil"/>
            </w:tcBorders>
            <w:shd w:val="clear" w:color="auto" w:fill="F2F2F2" w:themeFill="background1" w:themeFillShade="F2"/>
            <w:vAlign w:val="center"/>
          </w:tcPr>
          <w:p w14:paraId="21D9FF22" w14:textId="77777777" w:rsidR="00B764FC" w:rsidRDefault="00B764FC">
            <w:pPr>
              <w:rPr>
                <w:sz w:val="20"/>
                <w:szCs w:val="20"/>
              </w:rPr>
            </w:pPr>
            <w:r>
              <w:rPr>
                <w:sz w:val="20"/>
                <w:szCs w:val="20"/>
              </w:rPr>
              <w:t>What organisation is the most appropriate to manage the property and the tenancy?</w:t>
            </w:r>
          </w:p>
        </w:tc>
        <w:tc>
          <w:tcPr>
            <w:tcW w:w="4609" w:type="dxa"/>
            <w:tcBorders>
              <w:left w:val="nil"/>
              <w:right w:val="nil"/>
            </w:tcBorders>
            <w:shd w:val="clear" w:color="auto" w:fill="F2F2F2" w:themeFill="background1" w:themeFillShade="F2"/>
          </w:tcPr>
          <w:p w14:paraId="431D71AD" w14:textId="77777777" w:rsidR="00B764FC" w:rsidRDefault="00B764FC">
            <w:pPr>
              <w:rPr>
                <w:sz w:val="20"/>
                <w:szCs w:val="20"/>
              </w:rPr>
            </w:pPr>
            <w:r>
              <w:rPr>
                <w:sz w:val="20"/>
                <w:szCs w:val="20"/>
              </w:rPr>
              <w:t>Management should be undertaken by an organisation that best understands the needs of the client, and can collect rent and maintain the property.</w:t>
            </w:r>
          </w:p>
        </w:tc>
      </w:tr>
    </w:tbl>
    <w:p w14:paraId="7562CD2B" w14:textId="77777777" w:rsidR="00B764FC" w:rsidRDefault="00B764FC">
      <w:pPr>
        <w:rPr>
          <w:rFonts w:ascii="Circular Std Book" w:hAnsi="Circular Std Book" w:cs="Circular Std Book"/>
          <w:b/>
          <w:bCs/>
          <w:color w:val="000000"/>
          <w:sz w:val="28"/>
          <w:szCs w:val="28"/>
        </w:rPr>
      </w:pPr>
      <w:r>
        <w:br w:type="page"/>
      </w:r>
    </w:p>
    <w:p w14:paraId="6A65ED72" w14:textId="77777777" w:rsidR="00B764FC" w:rsidRPr="00AE261C" w:rsidRDefault="00B764FC" w:rsidP="00077040">
      <w:pPr>
        <w:pStyle w:val="Heading1"/>
        <w:numPr>
          <w:ilvl w:val="0"/>
          <w:numId w:val="14"/>
        </w:numPr>
        <w:rPr>
          <w:color w:val="002060"/>
        </w:rPr>
      </w:pPr>
      <w:bookmarkStart w:id="24" w:name="_Toc22120158"/>
      <w:r w:rsidRPr="00AE261C">
        <w:rPr>
          <w:color w:val="002060"/>
        </w:rPr>
        <w:lastRenderedPageBreak/>
        <w:t>Why a Social Housing Plan for Geelong?</w:t>
      </w:r>
      <w:bookmarkEnd w:id="24"/>
      <w:r w:rsidRPr="00AE261C">
        <w:rPr>
          <w:color w:val="002060"/>
        </w:rPr>
        <w:t xml:space="preserve"> </w:t>
      </w:r>
    </w:p>
    <w:p w14:paraId="63530DF2" w14:textId="77777777" w:rsidR="00B764FC" w:rsidRDefault="00B764FC"/>
    <w:p w14:paraId="044AED76" w14:textId="77777777" w:rsidR="00B764FC" w:rsidRPr="00AE261C" w:rsidRDefault="00B764FC">
      <w:pPr>
        <w:pStyle w:val="Heading2"/>
      </w:pPr>
      <w:bookmarkStart w:id="25" w:name="_Toc22120159"/>
      <w:r w:rsidRPr="00AE261C">
        <w:t>3.1</w:t>
      </w:r>
      <w:r w:rsidRPr="00AE261C">
        <w:tab/>
        <w:t>What impact does Local Government have on housing affordability?</w:t>
      </w:r>
      <w:bookmarkEnd w:id="25"/>
    </w:p>
    <w:p w14:paraId="49847499" w14:textId="77777777" w:rsidR="00B764FC" w:rsidRDefault="00B764FC">
      <w:pPr>
        <w:spacing w:before="240" w:line="276" w:lineRule="auto"/>
        <w:jc w:val="both"/>
        <w:rPr>
          <w:sz w:val="22"/>
          <w:szCs w:val="22"/>
        </w:rPr>
      </w:pPr>
      <w:r>
        <w:rPr>
          <w:sz w:val="22"/>
          <w:szCs w:val="22"/>
        </w:rPr>
        <w:t>Local Government can potentially have a significant impact on housing affordability, especially in Geelong where there is significant land supply, and the municipality is not ‘locked’ by adjacent populated municipalities.</w:t>
      </w:r>
    </w:p>
    <w:p w14:paraId="7979FC47" w14:textId="77777777" w:rsidR="00B764FC" w:rsidRDefault="00B764FC">
      <w:pPr>
        <w:spacing w:before="240" w:line="276" w:lineRule="auto"/>
        <w:jc w:val="both"/>
        <w:rPr>
          <w:sz w:val="22"/>
          <w:szCs w:val="22"/>
        </w:rPr>
      </w:pPr>
      <w:r>
        <w:rPr>
          <w:sz w:val="22"/>
          <w:szCs w:val="22"/>
        </w:rPr>
        <w:t>Local Government can increase demand for housing generally by virtue of its planning and development decisions.  Through inputs into regional planning, local government contributes to regional growth and development, and the subsequent demand for housing.  This includes infrastructure and transport.</w:t>
      </w:r>
    </w:p>
    <w:p w14:paraId="57D022CF" w14:textId="77777777" w:rsidR="00B764FC" w:rsidRDefault="00B764FC">
      <w:pPr>
        <w:spacing w:before="240" w:after="240" w:line="276" w:lineRule="auto"/>
        <w:jc w:val="both"/>
        <w:rPr>
          <w:sz w:val="22"/>
          <w:szCs w:val="22"/>
        </w:rPr>
      </w:pPr>
      <w:r>
        <w:rPr>
          <w:sz w:val="22"/>
          <w:szCs w:val="22"/>
        </w:rPr>
        <w:t>Local Government has a major impact on housing affordability through its regulation of supply of land for development.  Under-supply of land tends to increase housing prices, due to unmet demand.  Local government also influences value through zoning, regulation of lot sizes, and urban design and urban amenity.</w:t>
      </w:r>
    </w:p>
    <w:p w14:paraId="66D43225" w14:textId="77777777" w:rsidR="00B764FC" w:rsidRPr="00AE261C" w:rsidRDefault="00B764FC">
      <w:pPr>
        <w:pStyle w:val="Heading2"/>
      </w:pPr>
      <w:bookmarkStart w:id="26" w:name="_Toc22120160"/>
      <w:r w:rsidRPr="00AE261C">
        <w:t>3.2</w:t>
      </w:r>
      <w:r w:rsidRPr="00AE261C">
        <w:tab/>
        <w:t>Why has housing affordability become an issue for Local Government?</w:t>
      </w:r>
      <w:bookmarkEnd w:id="26"/>
    </w:p>
    <w:p w14:paraId="75949233" w14:textId="77777777" w:rsidR="00B764FC" w:rsidRDefault="00B764FC">
      <w:pPr>
        <w:spacing w:before="240" w:line="276" w:lineRule="auto"/>
        <w:jc w:val="both"/>
        <w:rPr>
          <w:sz w:val="22"/>
          <w:szCs w:val="22"/>
          <w:lang w:val="en-US"/>
        </w:rPr>
      </w:pPr>
      <w:r>
        <w:rPr>
          <w:sz w:val="22"/>
          <w:szCs w:val="22"/>
          <w:lang w:val="en-US"/>
        </w:rPr>
        <w:t xml:space="preserve">Across Victoria, housing affordability is at its lowest level in 20 years. Compared to other Australian States, Victoria has the lowest level of social housing (see ‘Supply of Social Housing in Geelong’ below). This low level of current social housing stock reflects decades of reduced expenditure on social housing. As a result, much current social housing stock is poorly maintained and any available social housing is usually allocated to those households who have the highest, and most complex, needs. These trends have contributed to negative community attitudes to social housing in many areas of Victoria. </w:t>
      </w:r>
    </w:p>
    <w:p w14:paraId="5FB9A9C8" w14:textId="77777777" w:rsidR="00B764FC" w:rsidRDefault="00B764FC">
      <w:pPr>
        <w:spacing w:before="240" w:line="276" w:lineRule="auto"/>
        <w:jc w:val="both"/>
        <w:rPr>
          <w:sz w:val="22"/>
          <w:szCs w:val="22"/>
          <w:lang w:val="en-US"/>
        </w:rPr>
      </w:pPr>
      <w:r>
        <w:rPr>
          <w:sz w:val="22"/>
          <w:szCs w:val="22"/>
          <w:lang w:val="en-US"/>
        </w:rPr>
        <w:t xml:space="preserve">This lack of investment by the State Government in social housing means that Local Government will play an increasingly important role in planning for social housing into the future. As the closest level of government to the people, Local Government is aware of community needs and well connected with local organisations that respond to those needs. </w:t>
      </w:r>
    </w:p>
    <w:p w14:paraId="70B35637" w14:textId="77777777" w:rsidR="00B764FC" w:rsidRDefault="00B764FC">
      <w:pPr>
        <w:spacing w:before="240" w:line="276" w:lineRule="auto"/>
        <w:jc w:val="both"/>
        <w:rPr>
          <w:rStyle w:val="CommentReference"/>
          <w:rFonts w:ascii="Verdana" w:hAnsi="Verdana" w:cs="Verdana"/>
          <w:b/>
          <w:bCs/>
          <w:color w:val="808080"/>
          <w:lang w:val="en-GB"/>
        </w:rPr>
      </w:pPr>
      <w:r>
        <w:rPr>
          <w:sz w:val="22"/>
          <w:szCs w:val="22"/>
          <w:lang w:val="en-US"/>
        </w:rPr>
        <w:t xml:space="preserve">Recent changes made by the State Government to the Victorian Planning and Environment Act 1987 also now allow Local Governments to negotiate with developers about including social housing in new developments. These changes also increase the role, and opportunity, for Local Government to facilitate an increase in the supply of social housing. </w:t>
      </w:r>
    </w:p>
    <w:p w14:paraId="2AFF5FC9" w14:textId="77777777" w:rsidR="00B764FC" w:rsidRDefault="00B764FC">
      <w:pPr>
        <w:spacing w:before="240" w:line="276" w:lineRule="auto"/>
        <w:jc w:val="both"/>
      </w:pPr>
    </w:p>
    <w:p w14:paraId="220A79C3" w14:textId="14C78972" w:rsidR="00B764FC" w:rsidRPr="00AE261C" w:rsidRDefault="00B764FC">
      <w:pPr>
        <w:pStyle w:val="Heading2"/>
      </w:pPr>
      <w:bookmarkStart w:id="27" w:name="_Toc22120161"/>
      <w:r w:rsidRPr="00AE261C">
        <w:t>3.3</w:t>
      </w:r>
      <w:r w:rsidRPr="00AE261C">
        <w:tab/>
        <w:t>What is</w:t>
      </w:r>
      <w:r w:rsidR="006F7AED">
        <w:t xml:space="preserve"> the City</w:t>
      </w:r>
      <w:r w:rsidRPr="00AE261C">
        <w:t>’s commitment to Social and Affordable Housing?</w:t>
      </w:r>
      <w:bookmarkEnd w:id="27"/>
    </w:p>
    <w:p w14:paraId="06EDFC38" w14:textId="77777777" w:rsidR="00B764FC" w:rsidRDefault="00B764FC">
      <w:pPr>
        <w:spacing w:before="240" w:line="276" w:lineRule="auto"/>
        <w:jc w:val="both"/>
        <w:rPr>
          <w:sz w:val="22"/>
          <w:szCs w:val="22"/>
        </w:rPr>
      </w:pPr>
      <w:r>
        <w:rPr>
          <w:sz w:val="22"/>
          <w:szCs w:val="22"/>
        </w:rPr>
        <w:t xml:space="preserve">Council has made a number of commitments to providing social and affordable housing in Geelong, which are recorded in various documents. The overarching long-term vision is provided by </w:t>
      </w:r>
      <w:r>
        <w:rPr>
          <w:i/>
          <w:iCs/>
          <w:sz w:val="22"/>
          <w:szCs w:val="22"/>
        </w:rPr>
        <w:t>A Clever and Creative Community</w:t>
      </w:r>
      <w:r>
        <w:rPr>
          <w:sz w:val="22"/>
          <w:szCs w:val="22"/>
        </w:rPr>
        <w:t>, which states:</w:t>
      </w:r>
    </w:p>
    <w:p w14:paraId="72F1A3AB" w14:textId="77777777" w:rsidR="00B764FC" w:rsidRDefault="00B764FC">
      <w:pPr>
        <w:spacing w:before="240" w:line="276" w:lineRule="auto"/>
        <w:jc w:val="both"/>
        <w:rPr>
          <w:sz w:val="22"/>
          <w:szCs w:val="22"/>
        </w:rPr>
      </w:pPr>
      <w:r>
        <w:rPr>
          <w:i/>
          <w:iCs/>
          <w:sz w:val="22"/>
          <w:szCs w:val="22"/>
        </w:rPr>
        <w:t>“By 2047 Greater Geelong will be internationally recognised as a clever and creative city-region that is forward looking, enterprising and adaptive, and cares for its people and environment.”</w:t>
      </w:r>
      <w:r>
        <w:rPr>
          <w:sz w:val="22"/>
          <w:szCs w:val="22"/>
        </w:rPr>
        <w:t xml:space="preserve">  </w:t>
      </w:r>
    </w:p>
    <w:p w14:paraId="3B20C138" w14:textId="77777777" w:rsidR="00B764FC" w:rsidRDefault="00B764FC">
      <w:pPr>
        <w:spacing w:before="240" w:line="276" w:lineRule="auto"/>
        <w:jc w:val="both"/>
        <w:rPr>
          <w:sz w:val="22"/>
          <w:szCs w:val="22"/>
        </w:rPr>
      </w:pPr>
      <w:r>
        <w:rPr>
          <w:i/>
          <w:iCs/>
          <w:sz w:val="22"/>
          <w:szCs w:val="22"/>
        </w:rPr>
        <w:lastRenderedPageBreak/>
        <w:t>A Clever and Creative Community</w:t>
      </w:r>
      <w:r>
        <w:rPr>
          <w:sz w:val="22"/>
          <w:szCs w:val="22"/>
        </w:rPr>
        <w:t xml:space="preserve"> identifies the following Community Aspiration:</w:t>
      </w:r>
    </w:p>
    <w:p w14:paraId="72A162F9" w14:textId="77777777" w:rsidR="00B764FC" w:rsidRDefault="00B764FC">
      <w:pPr>
        <w:spacing w:before="240" w:line="276" w:lineRule="auto"/>
        <w:jc w:val="both"/>
        <w:rPr>
          <w:i/>
          <w:iCs/>
          <w:sz w:val="22"/>
          <w:szCs w:val="22"/>
        </w:rPr>
      </w:pPr>
      <w:r>
        <w:rPr>
          <w:i/>
          <w:iCs/>
          <w:sz w:val="22"/>
          <w:szCs w:val="22"/>
        </w:rPr>
        <w:t>“an inclusive, diverse, healthy and socially connected community, with success achieved by a variety of affordable options for people to rent or buy a home, and support for the most vulnerable members of the community.”</w:t>
      </w:r>
    </w:p>
    <w:p w14:paraId="345EDE4C" w14:textId="77777777" w:rsidR="00B764FC" w:rsidRDefault="00B764FC">
      <w:pPr>
        <w:spacing w:before="240" w:line="276" w:lineRule="auto"/>
        <w:jc w:val="both"/>
        <w:rPr>
          <w:sz w:val="22"/>
          <w:szCs w:val="22"/>
        </w:rPr>
      </w:pPr>
      <w:r>
        <w:rPr>
          <w:snapToGrid w:val="0"/>
          <w:sz w:val="22"/>
          <w:szCs w:val="22"/>
        </w:rPr>
        <w:t xml:space="preserve">The City of Greater Geelong </w:t>
      </w:r>
      <w:r>
        <w:rPr>
          <w:i/>
          <w:iCs/>
          <w:snapToGrid w:val="0"/>
          <w:sz w:val="22"/>
          <w:szCs w:val="22"/>
        </w:rPr>
        <w:t>Council Plan</w:t>
      </w:r>
      <w:r>
        <w:rPr>
          <w:snapToGrid w:val="0"/>
          <w:sz w:val="22"/>
          <w:szCs w:val="22"/>
        </w:rPr>
        <w:t xml:space="preserve"> 2018 – 2022 states that Council is committed to </w:t>
      </w:r>
      <w:r>
        <w:rPr>
          <w:i/>
          <w:iCs/>
          <w:snapToGrid w:val="0"/>
          <w:sz w:val="22"/>
          <w:szCs w:val="22"/>
        </w:rPr>
        <w:t>“Making sure housing supply, diversity and affordability can meet the needs of our growing community”</w:t>
      </w:r>
      <w:r>
        <w:rPr>
          <w:snapToGrid w:val="0"/>
          <w:sz w:val="22"/>
          <w:szCs w:val="22"/>
        </w:rPr>
        <w:t xml:space="preserve">.  </w:t>
      </w:r>
      <w:r>
        <w:rPr>
          <w:sz w:val="22"/>
          <w:szCs w:val="22"/>
        </w:rPr>
        <w:t xml:space="preserve">This includes developing </w:t>
      </w:r>
      <w:r>
        <w:rPr>
          <w:i/>
          <w:iCs/>
          <w:sz w:val="22"/>
          <w:szCs w:val="22"/>
        </w:rPr>
        <w:t>“a housing policy to provide a range of social and affordable housing options”.</w:t>
      </w:r>
      <w:r>
        <w:rPr>
          <w:snapToGrid w:val="0"/>
          <w:sz w:val="22"/>
          <w:szCs w:val="22"/>
        </w:rPr>
        <w:t xml:space="preserve">  A key priority in the Plan is to develop a housing policy to provide a range of social and affordable housing options, with the adoption and commencement of the Social Housing Plan in 2019-2020.</w:t>
      </w:r>
    </w:p>
    <w:p w14:paraId="3682DC8E" w14:textId="77777777" w:rsidR="00B764FC" w:rsidRDefault="00B764FC">
      <w:pPr>
        <w:spacing w:before="240" w:line="276" w:lineRule="auto"/>
        <w:jc w:val="both"/>
        <w:rPr>
          <w:sz w:val="22"/>
          <w:szCs w:val="22"/>
        </w:rPr>
      </w:pPr>
      <w:r>
        <w:rPr>
          <w:sz w:val="22"/>
          <w:szCs w:val="22"/>
        </w:rPr>
        <w:t xml:space="preserve">The City of Greater Geelong </w:t>
      </w:r>
      <w:r>
        <w:rPr>
          <w:i/>
          <w:iCs/>
          <w:sz w:val="22"/>
          <w:szCs w:val="22"/>
        </w:rPr>
        <w:t>Municipal Public Health &amp; Wellbeing Plan 2018-21</w:t>
      </w:r>
      <w:r>
        <w:rPr>
          <w:sz w:val="22"/>
          <w:szCs w:val="22"/>
        </w:rPr>
        <w:t xml:space="preserve"> acknowledges that life opportunities, good health and wellbeing, are impacted at all stage of life by safe, affordable and accessible housing.</w:t>
      </w:r>
    </w:p>
    <w:p w14:paraId="55541059" w14:textId="77777777" w:rsidR="00B764FC" w:rsidRDefault="00B764FC">
      <w:pPr>
        <w:spacing w:before="240" w:after="240" w:line="276" w:lineRule="auto"/>
        <w:jc w:val="both"/>
      </w:pPr>
      <w:r>
        <w:rPr>
          <w:sz w:val="22"/>
          <w:szCs w:val="22"/>
        </w:rPr>
        <w:t xml:space="preserve">The City of Greater Geelong </w:t>
      </w:r>
      <w:r>
        <w:rPr>
          <w:i/>
          <w:iCs/>
          <w:sz w:val="22"/>
          <w:szCs w:val="22"/>
        </w:rPr>
        <w:t>Settlement Strategy</w:t>
      </w:r>
      <w:r>
        <w:rPr>
          <w:sz w:val="22"/>
          <w:szCs w:val="22"/>
        </w:rPr>
        <w:t xml:space="preserve"> (2018) identifies selected strategies for the development of social housing in order to achieve an increase in the level of affordable and social housing in Greater Geelong.  Strategies include supporting affordable housing in areas suitable for increased housing diversity and density, especially around Activity Centres and Key Development Areas; investigating voluntary agreements, inclusionary zoning and development of surplus government sites to deliver social housing; and working with State government, community housing and the private</w:t>
      </w:r>
      <w:r>
        <w:rPr>
          <w:sz w:val="20"/>
          <w:szCs w:val="20"/>
        </w:rPr>
        <w:t xml:space="preserve"> </w:t>
      </w:r>
      <w:r>
        <w:rPr>
          <w:sz w:val="22"/>
          <w:szCs w:val="22"/>
        </w:rPr>
        <w:t>sector to deliver more affordable and social housing.</w:t>
      </w:r>
    </w:p>
    <w:p w14:paraId="1503FB3B" w14:textId="77777777" w:rsidR="00B764FC" w:rsidRPr="00AE261C" w:rsidRDefault="00B764FC">
      <w:pPr>
        <w:pStyle w:val="Heading2"/>
      </w:pPr>
      <w:bookmarkStart w:id="28" w:name="_Toc22120162"/>
      <w:r w:rsidRPr="00AE261C">
        <w:t>3.4</w:t>
      </w:r>
      <w:r w:rsidRPr="00AE261C">
        <w:tab/>
        <w:t>What is the purpose of the Social Housing Plan?</w:t>
      </w:r>
      <w:bookmarkEnd w:id="28"/>
    </w:p>
    <w:p w14:paraId="54C9B231" w14:textId="1C256536" w:rsidR="00B764FC" w:rsidRDefault="00B764FC">
      <w:pPr>
        <w:spacing w:after="240" w:line="276" w:lineRule="auto"/>
        <w:jc w:val="both"/>
        <w:rPr>
          <w:snapToGrid w:val="0"/>
          <w:sz w:val="22"/>
          <w:szCs w:val="22"/>
        </w:rPr>
      </w:pPr>
      <w:r>
        <w:rPr>
          <w:sz w:val="22"/>
          <w:szCs w:val="22"/>
        </w:rPr>
        <w:t xml:space="preserve">The purpose of the </w:t>
      </w:r>
      <w:r>
        <w:rPr>
          <w:i/>
          <w:iCs/>
          <w:sz w:val="22"/>
          <w:szCs w:val="22"/>
        </w:rPr>
        <w:t>Social Housing Plan</w:t>
      </w:r>
      <w:r>
        <w:rPr>
          <w:sz w:val="22"/>
          <w:szCs w:val="22"/>
        </w:rPr>
        <w:t xml:space="preserve"> is to provide </w:t>
      </w:r>
      <w:r w:rsidR="006F7AED">
        <w:rPr>
          <w:sz w:val="22"/>
          <w:szCs w:val="22"/>
        </w:rPr>
        <w:t xml:space="preserve">the City </w:t>
      </w:r>
      <w:r>
        <w:rPr>
          <w:sz w:val="22"/>
          <w:szCs w:val="22"/>
        </w:rPr>
        <w:t xml:space="preserve">with a framework to implement previous commitments and, in particular, </w:t>
      </w:r>
      <w:r>
        <w:rPr>
          <w:snapToGrid w:val="0"/>
          <w:sz w:val="22"/>
          <w:szCs w:val="22"/>
        </w:rPr>
        <w:t xml:space="preserve">to provide a policy that will drive an increase in social and affordable housing options.  </w:t>
      </w:r>
    </w:p>
    <w:p w14:paraId="58C5DEA3" w14:textId="44486387" w:rsidR="00B764FC" w:rsidRDefault="006F7AED">
      <w:pPr>
        <w:spacing w:before="240" w:line="276" w:lineRule="auto"/>
        <w:jc w:val="both"/>
        <w:rPr>
          <w:sz w:val="22"/>
          <w:szCs w:val="22"/>
        </w:rPr>
      </w:pPr>
      <w:r>
        <w:rPr>
          <w:sz w:val="22"/>
          <w:szCs w:val="22"/>
        </w:rPr>
        <w:t xml:space="preserve">The City </w:t>
      </w:r>
      <w:r w:rsidR="00B764FC">
        <w:rPr>
          <w:sz w:val="22"/>
          <w:szCs w:val="22"/>
        </w:rPr>
        <w:t xml:space="preserve">is committed to ensuring that housing can meet the needs of its constituents.  In order to meet the needs of some of the most disadvantaged people in the Geelong community, </w:t>
      </w:r>
      <w:r>
        <w:rPr>
          <w:sz w:val="22"/>
          <w:szCs w:val="22"/>
        </w:rPr>
        <w:t xml:space="preserve">the City </w:t>
      </w:r>
      <w:r w:rsidR="00B764FC">
        <w:rPr>
          <w:sz w:val="22"/>
          <w:szCs w:val="22"/>
        </w:rPr>
        <w:t xml:space="preserve">should collaborate with the State and Commonwealth Governments to increase the supply of social housing. </w:t>
      </w:r>
    </w:p>
    <w:p w14:paraId="6AB2A044" w14:textId="1BAFA839" w:rsidR="00B764FC" w:rsidRPr="00692CCA" w:rsidRDefault="00B764FC" w:rsidP="00692CCA">
      <w:pPr>
        <w:spacing w:before="240" w:after="240" w:line="276" w:lineRule="auto"/>
        <w:jc w:val="both"/>
        <w:rPr>
          <w:sz w:val="22"/>
          <w:szCs w:val="22"/>
        </w:rPr>
      </w:pPr>
      <w:r>
        <w:rPr>
          <w:sz w:val="22"/>
          <w:szCs w:val="22"/>
        </w:rPr>
        <w:t xml:space="preserve">This will mean a more significant role for </w:t>
      </w:r>
      <w:r w:rsidR="006F7AED">
        <w:rPr>
          <w:sz w:val="22"/>
          <w:szCs w:val="22"/>
        </w:rPr>
        <w:t xml:space="preserve">the City </w:t>
      </w:r>
      <w:r>
        <w:rPr>
          <w:sz w:val="22"/>
          <w:szCs w:val="22"/>
        </w:rPr>
        <w:t xml:space="preserve">in planning and controlling the development of social housing and ensuring that the type and location of dwellings to be constructed are consistent with the needs of low-income households.  </w:t>
      </w:r>
    </w:p>
    <w:p w14:paraId="61BB2DEA" w14:textId="77777777" w:rsidR="00B764FC" w:rsidRDefault="00B764FC">
      <w:pPr>
        <w:spacing w:after="240" w:line="276" w:lineRule="auto"/>
        <w:jc w:val="both"/>
        <w:rPr>
          <w:snapToGrid w:val="0"/>
          <w:sz w:val="22"/>
          <w:szCs w:val="22"/>
        </w:rPr>
      </w:pPr>
      <w:r>
        <w:rPr>
          <w:snapToGrid w:val="0"/>
          <w:sz w:val="22"/>
          <w:szCs w:val="22"/>
        </w:rPr>
        <w:t xml:space="preserve">The </w:t>
      </w:r>
      <w:r>
        <w:rPr>
          <w:i/>
          <w:iCs/>
          <w:snapToGrid w:val="0"/>
          <w:sz w:val="22"/>
          <w:szCs w:val="22"/>
        </w:rPr>
        <w:t>Social Housing Plan</w:t>
      </w:r>
      <w:r>
        <w:rPr>
          <w:snapToGrid w:val="0"/>
          <w:sz w:val="22"/>
          <w:szCs w:val="22"/>
        </w:rPr>
        <w:t xml:space="preserve"> will also address the requirement of the Victorian Government to provide an evidence base to enable the negotiation of social housing inclusion with developers.</w:t>
      </w:r>
    </w:p>
    <w:p w14:paraId="64DD4259" w14:textId="77777777" w:rsidR="00B764FC" w:rsidRDefault="00B764FC">
      <w:pPr>
        <w:spacing w:after="240" w:line="276" w:lineRule="auto"/>
        <w:jc w:val="both"/>
        <w:rPr>
          <w:snapToGrid w:val="0"/>
          <w:sz w:val="22"/>
          <w:szCs w:val="22"/>
        </w:rPr>
      </w:pPr>
    </w:p>
    <w:p w14:paraId="17473018" w14:textId="77777777" w:rsidR="00B764FC" w:rsidRDefault="00B764FC">
      <w:pPr>
        <w:spacing w:after="240" w:line="276" w:lineRule="auto"/>
        <w:jc w:val="both"/>
        <w:rPr>
          <w:snapToGrid w:val="0"/>
          <w:sz w:val="22"/>
          <w:szCs w:val="22"/>
        </w:rPr>
      </w:pPr>
    </w:p>
    <w:p w14:paraId="210CC171" w14:textId="77777777" w:rsidR="00B764FC" w:rsidRDefault="00B764FC">
      <w:pPr>
        <w:spacing w:after="240" w:line="276" w:lineRule="auto"/>
        <w:jc w:val="both"/>
        <w:rPr>
          <w:snapToGrid w:val="0"/>
          <w:sz w:val="22"/>
          <w:szCs w:val="22"/>
        </w:rPr>
      </w:pPr>
    </w:p>
    <w:p w14:paraId="0165D2CA" w14:textId="77777777" w:rsidR="00B764FC" w:rsidRPr="00AE261C" w:rsidRDefault="00B764FC">
      <w:pPr>
        <w:pStyle w:val="Heading2"/>
      </w:pPr>
      <w:bookmarkStart w:id="29" w:name="_Toc22120163"/>
      <w:r w:rsidRPr="00AE261C">
        <w:lastRenderedPageBreak/>
        <w:t>3.5</w:t>
      </w:r>
      <w:r w:rsidRPr="00AE261C">
        <w:tab/>
        <w:t>What is special about Geelong?</w:t>
      </w:r>
      <w:bookmarkEnd w:id="29"/>
    </w:p>
    <w:p w14:paraId="3A542E7B" w14:textId="77777777" w:rsidR="00B764FC" w:rsidRDefault="00B764FC">
      <w:pPr>
        <w:spacing w:before="240" w:line="276" w:lineRule="auto"/>
        <w:jc w:val="both"/>
        <w:rPr>
          <w:sz w:val="22"/>
          <w:szCs w:val="22"/>
        </w:rPr>
      </w:pPr>
      <w:r>
        <w:rPr>
          <w:sz w:val="22"/>
          <w:szCs w:val="22"/>
        </w:rPr>
        <w:t>The Geelong region has particular significance within the State of Victoria, due to its size and diversity, and opportunities for growth.</w:t>
      </w:r>
    </w:p>
    <w:p w14:paraId="4A87E6C5" w14:textId="77777777" w:rsidR="00B764FC" w:rsidRDefault="00B764FC">
      <w:pPr>
        <w:spacing w:before="240" w:line="276" w:lineRule="auto"/>
        <w:jc w:val="both"/>
        <w:rPr>
          <w:sz w:val="22"/>
          <w:szCs w:val="22"/>
        </w:rPr>
      </w:pPr>
      <w:r>
        <w:rPr>
          <w:sz w:val="22"/>
          <w:szCs w:val="22"/>
        </w:rPr>
        <w:t>Geelong is the largest municipality in Victoria, encompassing a wide range of suburbs and communities.  These include city centre, older urban areas, newly developing broad hectare settlements, coastal towns, post-industrial suburbs, and rural, and semi-rural regions.  The distribution of social housing in Geelong is extremely uneven, and some suburbs have a significantly lower socio-economic profile, and experience higher levels of housing stress.  There is a need to upgrade social housing which was originally established in the 1950s as accommodation for factory workers.</w:t>
      </w:r>
    </w:p>
    <w:p w14:paraId="5AAD00D0" w14:textId="77777777" w:rsidR="00B764FC" w:rsidRDefault="00B764FC">
      <w:pPr>
        <w:spacing w:before="240" w:line="276" w:lineRule="auto"/>
        <w:jc w:val="both"/>
        <w:rPr>
          <w:sz w:val="22"/>
          <w:szCs w:val="22"/>
        </w:rPr>
      </w:pPr>
      <w:r>
        <w:rPr>
          <w:sz w:val="22"/>
          <w:szCs w:val="22"/>
        </w:rPr>
        <w:t>The Geelong economy has experienced re-structuring, including some major setbacks over the last 20 years, but now has a more complex structure which includes manufacturing, transport, commercial, retail, and services industries.  Geelong enjoys a special relationship with the State Government, which has supported a range of initiatives in the past, some of which have been in response to assistance with industrial and economic re-structuring.</w:t>
      </w:r>
    </w:p>
    <w:p w14:paraId="3A04FEF5" w14:textId="77777777" w:rsidR="00B764FC" w:rsidRDefault="00B764FC">
      <w:pPr>
        <w:spacing w:before="240" w:line="276" w:lineRule="auto"/>
        <w:jc w:val="both"/>
        <w:rPr>
          <w:sz w:val="22"/>
          <w:szCs w:val="22"/>
        </w:rPr>
      </w:pPr>
      <w:r>
        <w:rPr>
          <w:sz w:val="22"/>
          <w:szCs w:val="22"/>
        </w:rPr>
        <w:t>Geelong experiences higher levels of uncertainty in relation to housing demand, due to high expected population growth (including through migration).  Ongoing migration from Melbourne and Wyndham is likely, facilitated by enhanced transport infrastructure, including rail, road, and a major airport. The region offers a range of attractive lifestyles, with access to employment, recreation, arts and culture, and beaches.  People coming to Geelong may live and work in Geelong, retire to coastal communities, or settle in locations where they can commute to Melbourne and other places of employment.</w:t>
      </w:r>
    </w:p>
    <w:p w14:paraId="6CB5DD36" w14:textId="77777777" w:rsidR="00B764FC" w:rsidRDefault="00B764FC">
      <w:pPr>
        <w:spacing w:line="276" w:lineRule="auto"/>
        <w:jc w:val="both"/>
        <w:rPr>
          <w:b/>
          <w:bCs/>
          <w:sz w:val="22"/>
          <w:szCs w:val="22"/>
        </w:rPr>
      </w:pPr>
    </w:p>
    <w:p w14:paraId="17F44327" w14:textId="77777777" w:rsidR="00B764FC" w:rsidRDefault="00B764FC">
      <w:pPr>
        <w:spacing w:line="276" w:lineRule="auto"/>
        <w:jc w:val="both"/>
        <w:rPr>
          <w:b/>
          <w:bCs/>
          <w:sz w:val="22"/>
          <w:szCs w:val="22"/>
        </w:rPr>
      </w:pPr>
      <w:r>
        <w:rPr>
          <w:b/>
          <w:bCs/>
          <w:sz w:val="22"/>
          <w:szCs w:val="22"/>
        </w:rPr>
        <w:t>The Geelong Authority</w:t>
      </w:r>
    </w:p>
    <w:p w14:paraId="10C0DD41" w14:textId="77777777" w:rsidR="00B764FC" w:rsidRDefault="00B764FC">
      <w:pPr>
        <w:spacing w:line="276" w:lineRule="auto"/>
        <w:jc w:val="both"/>
        <w:rPr>
          <w:sz w:val="22"/>
          <w:szCs w:val="22"/>
        </w:rPr>
      </w:pPr>
      <w:r>
        <w:rPr>
          <w:sz w:val="22"/>
          <w:szCs w:val="22"/>
        </w:rPr>
        <w:t xml:space="preserve">The Geelong Authority was established as a Ministerial Advisory Committee for the Minister for Planning in 2015.  The Geelong Authority provides independent advice to the Minister on a range of issues taking into account any social, economic and environmental factors, and the resultant net community benefit to central Geelong, and the broader Geelong region. The Authority oversees the implementation of the </w:t>
      </w:r>
      <w:r>
        <w:rPr>
          <w:i/>
          <w:iCs/>
          <w:sz w:val="22"/>
          <w:szCs w:val="22"/>
        </w:rPr>
        <w:t>Revitalising Central Geelong Action Plan</w:t>
      </w:r>
      <w:r>
        <w:rPr>
          <w:sz w:val="22"/>
          <w:szCs w:val="22"/>
        </w:rPr>
        <w:t xml:space="preserve">, which has been adopted and funded by the State Government.  </w:t>
      </w:r>
    </w:p>
    <w:p w14:paraId="51F4AEED" w14:textId="77777777" w:rsidR="00B764FC" w:rsidRDefault="00B764FC">
      <w:pPr>
        <w:spacing w:line="276" w:lineRule="auto"/>
        <w:jc w:val="both"/>
        <w:rPr>
          <w:sz w:val="22"/>
          <w:szCs w:val="22"/>
        </w:rPr>
      </w:pPr>
    </w:p>
    <w:p w14:paraId="32E7894C" w14:textId="77777777" w:rsidR="00B764FC" w:rsidRDefault="00B764FC">
      <w:pPr>
        <w:spacing w:line="276" w:lineRule="auto"/>
        <w:jc w:val="both"/>
        <w:rPr>
          <w:sz w:val="22"/>
          <w:szCs w:val="22"/>
        </w:rPr>
      </w:pPr>
      <w:r>
        <w:rPr>
          <w:sz w:val="22"/>
          <w:szCs w:val="22"/>
        </w:rPr>
        <w:t xml:space="preserve">The Plan aims to encourage more people to live and work in central Geelong, creation of jobs, new development opportunities, and increased demand for retail and other services.  The Plan includes several initiatives which potentially relate to social housing including development of housing in the city, support for the delivery of student housing, revitalising the Geelong Station Precinct, and development of community infrastructure to support higher levels of residential development.  The Plan included the development of social housing as part of the St Mary’s School development. </w:t>
      </w:r>
    </w:p>
    <w:p w14:paraId="778B0238" w14:textId="77777777" w:rsidR="00B764FC" w:rsidRDefault="00B764FC">
      <w:pPr>
        <w:spacing w:before="240" w:line="276" w:lineRule="auto"/>
        <w:jc w:val="both"/>
        <w:rPr>
          <w:sz w:val="22"/>
          <w:szCs w:val="22"/>
        </w:rPr>
      </w:pPr>
      <w:r>
        <w:rPr>
          <w:sz w:val="22"/>
          <w:szCs w:val="22"/>
        </w:rPr>
        <w:t xml:space="preserve">The development of social housing within central Geelong is clearly within the scope of the Geelong Authority.  It will be important for the Authority to oversee housing development projects within Central Geelong, and consider the inclusion of social housing within the context of the Social Housing Plan.  </w:t>
      </w:r>
    </w:p>
    <w:p w14:paraId="2AE127D7" w14:textId="77777777" w:rsidR="00B764FC" w:rsidRDefault="00B764FC">
      <w:pPr>
        <w:spacing w:line="276" w:lineRule="auto"/>
        <w:jc w:val="both"/>
        <w:rPr>
          <w:sz w:val="22"/>
          <w:szCs w:val="22"/>
        </w:rPr>
      </w:pPr>
    </w:p>
    <w:p w14:paraId="1AC22293" w14:textId="77777777" w:rsidR="00B764FC" w:rsidRDefault="00B764FC" w:rsidP="00077040">
      <w:pPr>
        <w:pStyle w:val="Heading1"/>
        <w:numPr>
          <w:ilvl w:val="0"/>
          <w:numId w:val="14"/>
        </w:numPr>
        <w:sectPr w:rsidR="00B764FC">
          <w:headerReference w:type="default" r:id="rId15"/>
          <w:footerReference w:type="default" r:id="rId16"/>
          <w:pgSz w:w="11907" w:h="16840" w:code="9"/>
          <w:pgMar w:top="1440" w:right="1275" w:bottom="1701" w:left="1418" w:header="709" w:footer="709" w:gutter="0"/>
          <w:cols w:space="708"/>
          <w:docGrid w:linePitch="360"/>
        </w:sectPr>
      </w:pPr>
    </w:p>
    <w:p w14:paraId="24B50F1C" w14:textId="77777777" w:rsidR="00B764FC" w:rsidRPr="00AE261C" w:rsidRDefault="00B764FC" w:rsidP="00077040">
      <w:pPr>
        <w:pStyle w:val="Heading1"/>
        <w:numPr>
          <w:ilvl w:val="0"/>
          <w:numId w:val="14"/>
        </w:numPr>
        <w:rPr>
          <w:color w:val="002060"/>
        </w:rPr>
      </w:pPr>
      <w:bookmarkStart w:id="30" w:name="_Toc17387322"/>
      <w:bookmarkStart w:id="31" w:name="_Toc22120164"/>
      <w:r w:rsidRPr="00AE261C">
        <w:rPr>
          <w:color w:val="002060"/>
        </w:rPr>
        <w:lastRenderedPageBreak/>
        <w:t>How did we develop the City of Greater Geelong Social Housing Plan</w:t>
      </w:r>
      <w:bookmarkEnd w:id="30"/>
      <w:r w:rsidRPr="00AE261C">
        <w:rPr>
          <w:color w:val="002060"/>
        </w:rPr>
        <w:t>?</w:t>
      </w:r>
      <w:bookmarkEnd w:id="31"/>
      <w:r w:rsidRPr="00AE261C">
        <w:rPr>
          <w:color w:val="002060"/>
        </w:rPr>
        <w:t xml:space="preserve"> </w:t>
      </w:r>
    </w:p>
    <w:p w14:paraId="5111775E" w14:textId="77777777" w:rsidR="00B764FC" w:rsidRDefault="00B764FC">
      <w:pPr>
        <w:spacing w:line="276" w:lineRule="auto"/>
        <w:rPr>
          <w:sz w:val="22"/>
          <w:szCs w:val="22"/>
        </w:rPr>
      </w:pPr>
    </w:p>
    <w:p w14:paraId="261D34F4" w14:textId="6863C4D2" w:rsidR="00B764FC" w:rsidRDefault="00B764FC">
      <w:pPr>
        <w:spacing w:line="276" w:lineRule="auto"/>
        <w:rPr>
          <w:sz w:val="22"/>
          <w:szCs w:val="22"/>
        </w:rPr>
      </w:pPr>
      <w:r>
        <w:rPr>
          <w:sz w:val="22"/>
          <w:szCs w:val="22"/>
        </w:rPr>
        <w:t xml:space="preserve">The following tasks were undertaken to develop the </w:t>
      </w:r>
      <w:r>
        <w:rPr>
          <w:i/>
          <w:iCs/>
          <w:sz w:val="22"/>
          <w:szCs w:val="22"/>
        </w:rPr>
        <w:t>City of Greater Geelong Social Housing Plan 20</w:t>
      </w:r>
      <w:r w:rsidR="003636C3">
        <w:rPr>
          <w:i/>
          <w:iCs/>
          <w:sz w:val="22"/>
          <w:szCs w:val="22"/>
        </w:rPr>
        <w:t>20</w:t>
      </w:r>
      <w:r>
        <w:rPr>
          <w:i/>
          <w:iCs/>
          <w:sz w:val="22"/>
          <w:szCs w:val="22"/>
        </w:rPr>
        <w:t xml:space="preserve"> – 2041 – this table also set out where to find more detail</w:t>
      </w:r>
      <w:r w:rsidR="006F7AED">
        <w:rPr>
          <w:i/>
          <w:iCs/>
          <w:sz w:val="22"/>
          <w:szCs w:val="22"/>
        </w:rPr>
        <w:t>ed</w:t>
      </w:r>
      <w:r>
        <w:rPr>
          <w:i/>
          <w:iCs/>
          <w:sz w:val="22"/>
          <w:szCs w:val="22"/>
        </w:rPr>
        <w:t xml:space="preserve"> information related to each stage of the project. </w:t>
      </w:r>
      <w:r>
        <w:rPr>
          <w:sz w:val="22"/>
          <w:szCs w:val="22"/>
        </w:rPr>
        <w:t xml:space="preserve"> </w:t>
      </w:r>
    </w:p>
    <w:p w14:paraId="49854C62" w14:textId="77777777" w:rsidR="00B764FC" w:rsidRDefault="00B764FC">
      <w:pPr>
        <w:spacing w:line="276" w:lineRule="auto"/>
        <w:ind w:left="1134"/>
      </w:pP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199"/>
        <w:gridCol w:w="3015"/>
      </w:tblGrid>
      <w:tr w:rsidR="00B764FC" w14:paraId="02201654" w14:textId="77777777" w:rsidTr="00AE261C">
        <w:trPr>
          <w:trHeight w:val="397"/>
          <w:tblHeader/>
        </w:trPr>
        <w:tc>
          <w:tcPr>
            <w:tcW w:w="6199" w:type="dxa"/>
            <w:shd w:val="clear" w:color="auto" w:fill="002060"/>
            <w:vAlign w:val="center"/>
          </w:tcPr>
          <w:p w14:paraId="19D019FB" w14:textId="77777777" w:rsidR="00B764FC" w:rsidRDefault="00B764FC">
            <w:pPr>
              <w:rPr>
                <w:b/>
                <w:bCs/>
                <w:color w:val="FFFFFF"/>
                <w:sz w:val="20"/>
                <w:szCs w:val="20"/>
              </w:rPr>
            </w:pPr>
            <w:r>
              <w:rPr>
                <w:b/>
                <w:bCs/>
                <w:color w:val="FFFFFF"/>
                <w:sz w:val="20"/>
                <w:szCs w:val="20"/>
              </w:rPr>
              <w:t>Project Stage</w:t>
            </w:r>
          </w:p>
        </w:tc>
        <w:tc>
          <w:tcPr>
            <w:tcW w:w="3015" w:type="dxa"/>
            <w:shd w:val="clear" w:color="auto" w:fill="002060"/>
            <w:vAlign w:val="center"/>
          </w:tcPr>
          <w:p w14:paraId="5F816582" w14:textId="77777777" w:rsidR="00B764FC" w:rsidRDefault="00B764FC">
            <w:pPr>
              <w:rPr>
                <w:b/>
                <w:bCs/>
                <w:color w:val="FFFFFF"/>
                <w:sz w:val="20"/>
                <w:szCs w:val="20"/>
              </w:rPr>
            </w:pPr>
            <w:r>
              <w:rPr>
                <w:b/>
                <w:bCs/>
                <w:color w:val="FFFFFF"/>
                <w:sz w:val="20"/>
                <w:szCs w:val="20"/>
              </w:rPr>
              <w:t>Output</w:t>
            </w:r>
          </w:p>
        </w:tc>
      </w:tr>
      <w:tr w:rsidR="00B764FC" w:rsidRPr="00692CCA" w14:paraId="7D3DB4EF" w14:textId="77777777" w:rsidTr="00692CCA">
        <w:trPr>
          <w:trHeight w:val="397"/>
        </w:trPr>
        <w:tc>
          <w:tcPr>
            <w:tcW w:w="6199" w:type="dxa"/>
            <w:shd w:val="clear" w:color="auto" w:fill="F2F2F2" w:themeFill="background1" w:themeFillShade="F2"/>
            <w:vAlign w:val="center"/>
          </w:tcPr>
          <w:p w14:paraId="24054FC9" w14:textId="77777777" w:rsidR="00B764FC" w:rsidRPr="00692CCA" w:rsidRDefault="00B764FC">
            <w:pPr>
              <w:rPr>
                <w:b/>
                <w:bCs/>
                <w:i/>
                <w:iCs/>
                <w:color w:val="000000"/>
                <w:sz w:val="20"/>
                <w:szCs w:val="20"/>
              </w:rPr>
            </w:pPr>
            <w:r w:rsidRPr="00692CCA">
              <w:rPr>
                <w:b/>
                <w:bCs/>
                <w:i/>
                <w:iCs/>
                <w:color w:val="000000"/>
                <w:sz w:val="20"/>
                <w:szCs w:val="20"/>
              </w:rPr>
              <w:t>Milestone 1 – Inception Meeting and Project Risk Assessment</w:t>
            </w:r>
          </w:p>
        </w:tc>
        <w:tc>
          <w:tcPr>
            <w:tcW w:w="3015" w:type="dxa"/>
            <w:shd w:val="clear" w:color="auto" w:fill="FFFFFF" w:themeFill="background1"/>
            <w:vAlign w:val="center"/>
          </w:tcPr>
          <w:p w14:paraId="7AD29F7F" w14:textId="77777777" w:rsidR="00B764FC" w:rsidRPr="00692CCA" w:rsidRDefault="00B764FC">
            <w:pPr>
              <w:rPr>
                <w:i/>
                <w:iCs/>
                <w:color w:val="000000"/>
                <w:sz w:val="20"/>
                <w:szCs w:val="20"/>
              </w:rPr>
            </w:pPr>
            <w:r w:rsidRPr="00692CCA">
              <w:rPr>
                <w:i/>
                <w:iCs/>
                <w:color w:val="000000"/>
                <w:sz w:val="20"/>
                <w:szCs w:val="20"/>
              </w:rPr>
              <w:t>Project Risk Assessment – Internal Document</w:t>
            </w:r>
          </w:p>
        </w:tc>
      </w:tr>
      <w:tr w:rsidR="00B764FC" w:rsidRPr="00692CCA" w14:paraId="61D45F8B" w14:textId="77777777" w:rsidTr="00692CCA">
        <w:trPr>
          <w:trHeight w:val="397"/>
        </w:trPr>
        <w:tc>
          <w:tcPr>
            <w:tcW w:w="6199" w:type="dxa"/>
            <w:shd w:val="clear" w:color="auto" w:fill="F2F2F2" w:themeFill="background1" w:themeFillShade="F2"/>
            <w:vAlign w:val="center"/>
          </w:tcPr>
          <w:p w14:paraId="435320F2" w14:textId="77777777" w:rsidR="00B764FC" w:rsidRPr="00692CCA" w:rsidRDefault="00B764FC">
            <w:pPr>
              <w:rPr>
                <w:b/>
                <w:bCs/>
                <w:i/>
                <w:iCs/>
                <w:color w:val="000000"/>
                <w:sz w:val="20"/>
                <w:szCs w:val="20"/>
              </w:rPr>
            </w:pPr>
            <w:r w:rsidRPr="00692CCA">
              <w:rPr>
                <w:b/>
                <w:bCs/>
                <w:i/>
                <w:iCs/>
                <w:color w:val="000000"/>
                <w:sz w:val="20"/>
                <w:szCs w:val="20"/>
              </w:rPr>
              <w:t>Milestone 2 - Policy and Data Analysis</w:t>
            </w:r>
          </w:p>
        </w:tc>
        <w:tc>
          <w:tcPr>
            <w:tcW w:w="3015" w:type="dxa"/>
            <w:shd w:val="clear" w:color="auto" w:fill="F2F2F2" w:themeFill="background1" w:themeFillShade="F2"/>
          </w:tcPr>
          <w:p w14:paraId="6723C1F2" w14:textId="77777777" w:rsidR="00B764FC" w:rsidRPr="00692CCA" w:rsidRDefault="00B764FC">
            <w:pPr>
              <w:rPr>
                <w:b/>
                <w:bCs/>
                <w:i/>
                <w:iCs/>
                <w:color w:val="000000"/>
                <w:sz w:val="20"/>
                <w:szCs w:val="20"/>
              </w:rPr>
            </w:pPr>
          </w:p>
        </w:tc>
      </w:tr>
      <w:tr w:rsidR="00B764FC" w14:paraId="6958FF84" w14:textId="77777777" w:rsidTr="00692CCA">
        <w:trPr>
          <w:trHeight w:val="397"/>
        </w:trPr>
        <w:tc>
          <w:tcPr>
            <w:tcW w:w="6199" w:type="dxa"/>
            <w:shd w:val="clear" w:color="auto" w:fill="FFFFFF" w:themeFill="background1"/>
            <w:vAlign w:val="center"/>
          </w:tcPr>
          <w:p w14:paraId="2B62304A" w14:textId="77777777" w:rsidR="00B764FC" w:rsidRDefault="00B764FC">
            <w:pPr>
              <w:rPr>
                <w:color w:val="000000"/>
                <w:sz w:val="20"/>
                <w:szCs w:val="20"/>
              </w:rPr>
            </w:pPr>
            <w:r>
              <w:rPr>
                <w:color w:val="000000"/>
                <w:sz w:val="20"/>
                <w:szCs w:val="20"/>
              </w:rPr>
              <w:t>Policy Analysis: Local State and Federal Policy - guiding principles and opportunities for local government social housing role</w:t>
            </w:r>
          </w:p>
        </w:tc>
        <w:tc>
          <w:tcPr>
            <w:tcW w:w="3015" w:type="dxa"/>
            <w:shd w:val="clear" w:color="auto" w:fill="FFFFFF" w:themeFill="background1"/>
          </w:tcPr>
          <w:p w14:paraId="70E343B9" w14:textId="77777777" w:rsidR="00B764FC" w:rsidRDefault="00B764FC">
            <w:pPr>
              <w:rPr>
                <w:i/>
                <w:iCs/>
                <w:color w:val="000000"/>
                <w:sz w:val="20"/>
                <w:szCs w:val="20"/>
              </w:rPr>
            </w:pPr>
            <w:r>
              <w:rPr>
                <w:i/>
                <w:iCs/>
                <w:color w:val="000000"/>
                <w:sz w:val="20"/>
                <w:szCs w:val="20"/>
              </w:rPr>
              <w:t>Background Report No. 3: Policy Discussion Paper</w:t>
            </w:r>
          </w:p>
          <w:p w14:paraId="59A9FCED" w14:textId="77777777" w:rsidR="00B764FC" w:rsidRDefault="00B764FC">
            <w:pPr>
              <w:rPr>
                <w:i/>
                <w:iCs/>
                <w:color w:val="000000"/>
                <w:sz w:val="20"/>
                <w:szCs w:val="20"/>
              </w:rPr>
            </w:pPr>
          </w:p>
        </w:tc>
      </w:tr>
      <w:tr w:rsidR="00B764FC" w14:paraId="12FD25E9" w14:textId="77777777" w:rsidTr="00692CCA">
        <w:trPr>
          <w:trHeight w:val="397"/>
        </w:trPr>
        <w:tc>
          <w:tcPr>
            <w:tcW w:w="6199" w:type="dxa"/>
            <w:shd w:val="clear" w:color="auto" w:fill="FFFFFF" w:themeFill="background1"/>
            <w:vAlign w:val="center"/>
          </w:tcPr>
          <w:p w14:paraId="164F489E" w14:textId="6226F184" w:rsidR="00B764FC" w:rsidRDefault="00B764FC">
            <w:pPr>
              <w:rPr>
                <w:color w:val="000000"/>
                <w:sz w:val="20"/>
                <w:szCs w:val="20"/>
              </w:rPr>
            </w:pPr>
            <w:r>
              <w:rPr>
                <w:color w:val="000000"/>
                <w:sz w:val="20"/>
                <w:szCs w:val="20"/>
              </w:rPr>
              <w:t xml:space="preserve">Data Analysis: </w:t>
            </w:r>
            <w:r w:rsidR="006F7AED">
              <w:rPr>
                <w:color w:val="000000"/>
                <w:sz w:val="20"/>
                <w:szCs w:val="20"/>
              </w:rPr>
              <w:t xml:space="preserve">City of Greater Geelong </w:t>
            </w:r>
            <w:r>
              <w:rPr>
                <w:color w:val="000000"/>
                <w:sz w:val="20"/>
                <w:szCs w:val="20"/>
              </w:rPr>
              <w:t>Social Housing Supply; Population Groups and Social Housing Need; Social Housing Demand by Area</w:t>
            </w:r>
          </w:p>
        </w:tc>
        <w:tc>
          <w:tcPr>
            <w:tcW w:w="3015" w:type="dxa"/>
            <w:shd w:val="clear" w:color="auto" w:fill="FFFFFF" w:themeFill="background1"/>
          </w:tcPr>
          <w:p w14:paraId="7AA18AD2" w14:textId="77777777" w:rsidR="00B764FC" w:rsidRDefault="00B764FC">
            <w:pPr>
              <w:rPr>
                <w:i/>
                <w:iCs/>
                <w:color w:val="000000"/>
                <w:sz w:val="20"/>
                <w:szCs w:val="20"/>
              </w:rPr>
            </w:pPr>
            <w:r>
              <w:rPr>
                <w:i/>
                <w:iCs/>
                <w:color w:val="000000"/>
                <w:sz w:val="20"/>
                <w:szCs w:val="20"/>
              </w:rPr>
              <w:t>Background Report No. 4: Social Housing Supply and Demand Assessment</w:t>
            </w:r>
          </w:p>
          <w:p w14:paraId="225787B0" w14:textId="77777777" w:rsidR="00B764FC" w:rsidRDefault="00B764FC">
            <w:pPr>
              <w:rPr>
                <w:i/>
                <w:iCs/>
                <w:color w:val="000000"/>
                <w:sz w:val="20"/>
                <w:szCs w:val="20"/>
              </w:rPr>
            </w:pPr>
          </w:p>
        </w:tc>
      </w:tr>
      <w:tr w:rsidR="00B764FC" w14:paraId="480EF7F2" w14:textId="77777777" w:rsidTr="00692CCA">
        <w:trPr>
          <w:trHeight w:val="397"/>
        </w:trPr>
        <w:tc>
          <w:tcPr>
            <w:tcW w:w="6199" w:type="dxa"/>
            <w:shd w:val="clear" w:color="auto" w:fill="FFFFFF" w:themeFill="background1"/>
            <w:vAlign w:val="center"/>
          </w:tcPr>
          <w:p w14:paraId="14A40D40" w14:textId="77777777" w:rsidR="00B764FC" w:rsidRDefault="00B764FC">
            <w:pPr>
              <w:rPr>
                <w:color w:val="000000"/>
                <w:sz w:val="20"/>
                <w:szCs w:val="20"/>
              </w:rPr>
            </w:pPr>
            <w:r>
              <w:rPr>
                <w:color w:val="000000"/>
                <w:sz w:val="20"/>
                <w:szCs w:val="20"/>
              </w:rPr>
              <w:t xml:space="preserve">Land Audit: State and Local Government Owned Land </w:t>
            </w:r>
          </w:p>
        </w:tc>
        <w:tc>
          <w:tcPr>
            <w:tcW w:w="3015" w:type="dxa"/>
            <w:shd w:val="clear" w:color="auto" w:fill="FFFFFF" w:themeFill="background1"/>
          </w:tcPr>
          <w:p w14:paraId="749D0D2A" w14:textId="77777777" w:rsidR="00B764FC" w:rsidRDefault="00B764FC">
            <w:pPr>
              <w:rPr>
                <w:i/>
                <w:iCs/>
                <w:color w:val="000000"/>
                <w:sz w:val="20"/>
                <w:szCs w:val="20"/>
              </w:rPr>
            </w:pPr>
            <w:r>
              <w:rPr>
                <w:i/>
                <w:iCs/>
                <w:color w:val="000000"/>
                <w:sz w:val="20"/>
                <w:szCs w:val="20"/>
              </w:rPr>
              <w:t xml:space="preserve">Background Report No. 5: Land Audit (Internal Council document) </w:t>
            </w:r>
          </w:p>
        </w:tc>
      </w:tr>
      <w:tr w:rsidR="00B764FC" w:rsidRPr="00692CCA" w14:paraId="086E300C" w14:textId="77777777" w:rsidTr="00692CCA">
        <w:trPr>
          <w:trHeight w:val="397"/>
        </w:trPr>
        <w:tc>
          <w:tcPr>
            <w:tcW w:w="6199" w:type="dxa"/>
            <w:shd w:val="clear" w:color="auto" w:fill="F2F2F2" w:themeFill="background1" w:themeFillShade="F2"/>
            <w:vAlign w:val="center"/>
          </w:tcPr>
          <w:p w14:paraId="014AEA24" w14:textId="77777777" w:rsidR="00B764FC" w:rsidRPr="00692CCA" w:rsidRDefault="00B764FC">
            <w:pPr>
              <w:rPr>
                <w:b/>
                <w:bCs/>
                <w:i/>
                <w:iCs/>
                <w:color w:val="000000"/>
                <w:sz w:val="20"/>
                <w:szCs w:val="20"/>
              </w:rPr>
            </w:pPr>
            <w:r w:rsidRPr="00692CCA">
              <w:rPr>
                <w:b/>
                <w:bCs/>
                <w:i/>
                <w:iCs/>
                <w:color w:val="000000"/>
                <w:sz w:val="20"/>
                <w:szCs w:val="20"/>
              </w:rPr>
              <w:t>Milestone 3 - Community and Stakeholder Engagement</w:t>
            </w:r>
          </w:p>
        </w:tc>
        <w:tc>
          <w:tcPr>
            <w:tcW w:w="3015" w:type="dxa"/>
            <w:shd w:val="clear" w:color="auto" w:fill="F2F2F2" w:themeFill="background1" w:themeFillShade="F2"/>
          </w:tcPr>
          <w:p w14:paraId="320517C8" w14:textId="77777777" w:rsidR="00B764FC" w:rsidRPr="00692CCA" w:rsidRDefault="00B764FC">
            <w:pPr>
              <w:jc w:val="center"/>
              <w:rPr>
                <w:b/>
                <w:bCs/>
                <w:i/>
                <w:iCs/>
                <w:color w:val="000000"/>
                <w:sz w:val="20"/>
                <w:szCs w:val="20"/>
              </w:rPr>
            </w:pPr>
          </w:p>
        </w:tc>
      </w:tr>
      <w:tr w:rsidR="00B764FC" w14:paraId="16E77C32" w14:textId="77777777" w:rsidTr="00692CCA">
        <w:trPr>
          <w:cantSplit/>
          <w:trHeight w:val="397"/>
        </w:trPr>
        <w:tc>
          <w:tcPr>
            <w:tcW w:w="6199" w:type="dxa"/>
            <w:shd w:val="clear" w:color="auto" w:fill="FFFFFF" w:themeFill="background1"/>
            <w:vAlign w:val="center"/>
          </w:tcPr>
          <w:p w14:paraId="0635F9EB" w14:textId="77777777" w:rsidR="00B764FC" w:rsidRDefault="00B764FC">
            <w:pPr>
              <w:rPr>
                <w:color w:val="000000"/>
                <w:sz w:val="20"/>
                <w:szCs w:val="20"/>
              </w:rPr>
            </w:pPr>
            <w:r>
              <w:rPr>
                <w:color w:val="000000"/>
                <w:sz w:val="20"/>
                <w:szCs w:val="20"/>
              </w:rPr>
              <w:t>Development of Project Engagement Plan</w:t>
            </w:r>
          </w:p>
        </w:tc>
        <w:tc>
          <w:tcPr>
            <w:tcW w:w="3015" w:type="dxa"/>
            <w:vMerge w:val="restart"/>
            <w:shd w:val="clear" w:color="auto" w:fill="FFFFFF" w:themeFill="background1"/>
          </w:tcPr>
          <w:p w14:paraId="5FC15505" w14:textId="77777777" w:rsidR="00B764FC" w:rsidRDefault="00B764FC">
            <w:pPr>
              <w:rPr>
                <w:i/>
                <w:iCs/>
                <w:color w:val="000000"/>
                <w:sz w:val="20"/>
                <w:szCs w:val="20"/>
              </w:rPr>
            </w:pPr>
            <w:r>
              <w:rPr>
                <w:i/>
                <w:iCs/>
                <w:color w:val="000000"/>
                <w:sz w:val="20"/>
                <w:szCs w:val="20"/>
              </w:rPr>
              <w:t>Background Report No. 1: Engagement Report</w:t>
            </w:r>
          </w:p>
        </w:tc>
      </w:tr>
      <w:tr w:rsidR="00B764FC" w14:paraId="65771817" w14:textId="77777777" w:rsidTr="00692CCA">
        <w:trPr>
          <w:cantSplit/>
          <w:trHeight w:val="397"/>
        </w:trPr>
        <w:tc>
          <w:tcPr>
            <w:tcW w:w="6199" w:type="dxa"/>
            <w:shd w:val="clear" w:color="auto" w:fill="FFFFFF" w:themeFill="background1"/>
            <w:vAlign w:val="center"/>
          </w:tcPr>
          <w:p w14:paraId="49943E04" w14:textId="77777777" w:rsidR="00B764FC" w:rsidRDefault="00B764FC">
            <w:pPr>
              <w:rPr>
                <w:color w:val="000000"/>
                <w:sz w:val="20"/>
                <w:szCs w:val="20"/>
              </w:rPr>
            </w:pPr>
            <w:r>
              <w:rPr>
                <w:color w:val="000000"/>
                <w:sz w:val="20"/>
                <w:szCs w:val="20"/>
              </w:rPr>
              <w:t xml:space="preserve">Facilitation of Engagement Events: Stakeholder workshops, community consultations and targeted interviews </w:t>
            </w:r>
          </w:p>
        </w:tc>
        <w:tc>
          <w:tcPr>
            <w:tcW w:w="3015" w:type="dxa"/>
            <w:vMerge/>
            <w:shd w:val="clear" w:color="auto" w:fill="FFFFFF" w:themeFill="background1"/>
          </w:tcPr>
          <w:p w14:paraId="571BED9A" w14:textId="77777777" w:rsidR="00B764FC" w:rsidRDefault="00B764FC">
            <w:pPr>
              <w:rPr>
                <w:color w:val="000000"/>
                <w:sz w:val="20"/>
                <w:szCs w:val="20"/>
              </w:rPr>
            </w:pPr>
          </w:p>
        </w:tc>
      </w:tr>
      <w:tr w:rsidR="00B764FC" w:rsidRPr="00692CCA" w14:paraId="4C54C45D" w14:textId="77777777" w:rsidTr="00692CCA">
        <w:trPr>
          <w:trHeight w:val="397"/>
        </w:trPr>
        <w:tc>
          <w:tcPr>
            <w:tcW w:w="6199" w:type="dxa"/>
            <w:shd w:val="clear" w:color="auto" w:fill="F2F2F2" w:themeFill="background1" w:themeFillShade="F2"/>
            <w:vAlign w:val="center"/>
          </w:tcPr>
          <w:p w14:paraId="24E420D2" w14:textId="56829DBB" w:rsidR="00B764FC" w:rsidRPr="00692CCA" w:rsidRDefault="00B764FC">
            <w:pPr>
              <w:rPr>
                <w:b/>
                <w:bCs/>
                <w:i/>
                <w:iCs/>
                <w:color w:val="000000"/>
                <w:sz w:val="20"/>
                <w:szCs w:val="20"/>
              </w:rPr>
            </w:pPr>
            <w:r w:rsidRPr="00692CCA">
              <w:rPr>
                <w:b/>
                <w:bCs/>
                <w:i/>
                <w:iCs/>
                <w:color w:val="000000"/>
                <w:sz w:val="20"/>
                <w:szCs w:val="20"/>
              </w:rPr>
              <w:t xml:space="preserve">Milestone 4 - </w:t>
            </w:r>
            <w:r w:rsidR="006F7AED" w:rsidRPr="00692CCA">
              <w:rPr>
                <w:b/>
                <w:bCs/>
                <w:i/>
                <w:iCs/>
                <w:color w:val="000000"/>
                <w:sz w:val="20"/>
                <w:szCs w:val="20"/>
              </w:rPr>
              <w:t>C</w:t>
            </w:r>
            <w:r w:rsidR="006F7AED">
              <w:rPr>
                <w:b/>
                <w:bCs/>
                <w:i/>
                <w:iCs/>
                <w:color w:val="000000"/>
                <w:sz w:val="20"/>
                <w:szCs w:val="20"/>
              </w:rPr>
              <w:t>ity of Greater Geelong</w:t>
            </w:r>
            <w:r w:rsidR="006F7AED" w:rsidRPr="00692CCA">
              <w:rPr>
                <w:b/>
                <w:bCs/>
                <w:i/>
                <w:iCs/>
                <w:color w:val="000000"/>
                <w:sz w:val="20"/>
                <w:szCs w:val="20"/>
              </w:rPr>
              <w:t xml:space="preserve"> </w:t>
            </w:r>
            <w:r w:rsidRPr="00692CCA">
              <w:rPr>
                <w:b/>
                <w:bCs/>
                <w:i/>
                <w:iCs/>
                <w:color w:val="000000"/>
                <w:sz w:val="20"/>
                <w:szCs w:val="20"/>
              </w:rPr>
              <w:t>Social Housing - Strategic Options Paper</w:t>
            </w:r>
          </w:p>
        </w:tc>
        <w:tc>
          <w:tcPr>
            <w:tcW w:w="3015" w:type="dxa"/>
            <w:shd w:val="clear" w:color="auto" w:fill="F2F2F2" w:themeFill="background1" w:themeFillShade="F2"/>
          </w:tcPr>
          <w:p w14:paraId="5ECBD26F" w14:textId="77777777" w:rsidR="00B764FC" w:rsidRPr="00692CCA" w:rsidRDefault="00B764FC">
            <w:pPr>
              <w:jc w:val="center"/>
              <w:rPr>
                <w:b/>
                <w:bCs/>
                <w:color w:val="000000"/>
                <w:sz w:val="20"/>
                <w:szCs w:val="20"/>
              </w:rPr>
            </w:pPr>
          </w:p>
        </w:tc>
      </w:tr>
      <w:tr w:rsidR="00B764FC" w14:paraId="0C1C65A2" w14:textId="77777777" w:rsidTr="00692CCA">
        <w:trPr>
          <w:cantSplit/>
          <w:trHeight w:val="397"/>
        </w:trPr>
        <w:tc>
          <w:tcPr>
            <w:tcW w:w="6199" w:type="dxa"/>
            <w:shd w:val="clear" w:color="auto" w:fill="FFFFFF" w:themeFill="background1"/>
            <w:vAlign w:val="center"/>
          </w:tcPr>
          <w:p w14:paraId="6AFE0E08" w14:textId="6E0CEC2C" w:rsidR="00B764FC" w:rsidRDefault="00B764FC">
            <w:pPr>
              <w:rPr>
                <w:color w:val="000000"/>
                <w:sz w:val="20"/>
                <w:szCs w:val="20"/>
              </w:rPr>
            </w:pPr>
            <w:r>
              <w:rPr>
                <w:color w:val="000000"/>
                <w:sz w:val="20"/>
                <w:szCs w:val="20"/>
              </w:rPr>
              <w:t xml:space="preserve">Draft </w:t>
            </w:r>
            <w:r w:rsidR="006F7AED">
              <w:rPr>
                <w:color w:val="000000"/>
                <w:sz w:val="20"/>
                <w:szCs w:val="20"/>
              </w:rPr>
              <w:t xml:space="preserve">City of Greater Geelong </w:t>
            </w:r>
            <w:r>
              <w:rPr>
                <w:color w:val="000000"/>
                <w:sz w:val="20"/>
                <w:szCs w:val="20"/>
              </w:rPr>
              <w:t>Social Housing Plan – Strategic Options Paper</w:t>
            </w:r>
          </w:p>
        </w:tc>
        <w:tc>
          <w:tcPr>
            <w:tcW w:w="3015" w:type="dxa"/>
            <w:vMerge w:val="restart"/>
            <w:shd w:val="clear" w:color="auto" w:fill="FFFFFF" w:themeFill="background1"/>
          </w:tcPr>
          <w:p w14:paraId="2F6D387A" w14:textId="77777777" w:rsidR="00B764FC" w:rsidRDefault="00B764FC">
            <w:pPr>
              <w:rPr>
                <w:i/>
                <w:iCs/>
                <w:color w:val="000000"/>
                <w:sz w:val="20"/>
                <w:szCs w:val="20"/>
              </w:rPr>
            </w:pPr>
            <w:r>
              <w:rPr>
                <w:i/>
                <w:iCs/>
                <w:color w:val="000000"/>
                <w:sz w:val="20"/>
                <w:szCs w:val="20"/>
              </w:rPr>
              <w:t>Background Report No. 6: Strategic Options Paper</w:t>
            </w:r>
          </w:p>
        </w:tc>
      </w:tr>
      <w:tr w:rsidR="00B764FC" w14:paraId="6648CED7" w14:textId="77777777" w:rsidTr="00692CCA">
        <w:trPr>
          <w:cantSplit/>
          <w:trHeight w:val="397"/>
        </w:trPr>
        <w:tc>
          <w:tcPr>
            <w:tcW w:w="6199" w:type="dxa"/>
            <w:shd w:val="clear" w:color="auto" w:fill="FFFFFF" w:themeFill="background1"/>
            <w:vAlign w:val="center"/>
          </w:tcPr>
          <w:p w14:paraId="3873AC01" w14:textId="77777777" w:rsidR="00B764FC" w:rsidRDefault="00B764FC">
            <w:pPr>
              <w:rPr>
                <w:color w:val="000000"/>
                <w:sz w:val="20"/>
                <w:szCs w:val="20"/>
              </w:rPr>
            </w:pPr>
            <w:r>
              <w:rPr>
                <w:color w:val="000000"/>
                <w:sz w:val="20"/>
                <w:szCs w:val="20"/>
              </w:rPr>
              <w:t xml:space="preserve">Client Meeting and Councillor workshop to discuss Strategic Options </w:t>
            </w:r>
          </w:p>
        </w:tc>
        <w:tc>
          <w:tcPr>
            <w:tcW w:w="3015" w:type="dxa"/>
            <w:vMerge/>
            <w:shd w:val="clear" w:color="auto" w:fill="FFFFFF" w:themeFill="background1"/>
          </w:tcPr>
          <w:p w14:paraId="489A6606" w14:textId="77777777" w:rsidR="00B764FC" w:rsidRDefault="00B764FC">
            <w:pPr>
              <w:rPr>
                <w:i/>
                <w:iCs/>
                <w:color w:val="000000"/>
                <w:sz w:val="20"/>
                <w:szCs w:val="20"/>
              </w:rPr>
            </w:pPr>
          </w:p>
        </w:tc>
      </w:tr>
      <w:tr w:rsidR="00B764FC" w14:paraId="64F39BED" w14:textId="77777777" w:rsidTr="00692CCA">
        <w:trPr>
          <w:cantSplit/>
          <w:trHeight w:val="397"/>
        </w:trPr>
        <w:tc>
          <w:tcPr>
            <w:tcW w:w="6199" w:type="dxa"/>
            <w:shd w:val="clear" w:color="auto" w:fill="FFFFFF" w:themeFill="background1"/>
            <w:vAlign w:val="center"/>
          </w:tcPr>
          <w:p w14:paraId="12340612" w14:textId="00CD5324" w:rsidR="00B764FC" w:rsidRDefault="00B764FC">
            <w:pPr>
              <w:rPr>
                <w:color w:val="000000"/>
                <w:sz w:val="20"/>
                <w:szCs w:val="20"/>
              </w:rPr>
            </w:pPr>
            <w:r>
              <w:rPr>
                <w:color w:val="000000"/>
                <w:sz w:val="20"/>
                <w:szCs w:val="20"/>
              </w:rPr>
              <w:t xml:space="preserve">Revised </w:t>
            </w:r>
            <w:r w:rsidR="006F7AED">
              <w:rPr>
                <w:color w:val="000000"/>
                <w:sz w:val="20"/>
                <w:szCs w:val="20"/>
              </w:rPr>
              <w:t xml:space="preserve">City of Greater Geelong </w:t>
            </w:r>
            <w:r>
              <w:rPr>
                <w:color w:val="000000"/>
                <w:sz w:val="20"/>
                <w:szCs w:val="20"/>
              </w:rPr>
              <w:t xml:space="preserve">Social Housing Plan – Strategic Options Paper </w:t>
            </w:r>
          </w:p>
        </w:tc>
        <w:tc>
          <w:tcPr>
            <w:tcW w:w="3015" w:type="dxa"/>
            <w:vMerge/>
            <w:shd w:val="clear" w:color="auto" w:fill="FFFFFF" w:themeFill="background1"/>
          </w:tcPr>
          <w:p w14:paraId="70D98C98" w14:textId="77777777" w:rsidR="00B764FC" w:rsidRDefault="00B764FC">
            <w:pPr>
              <w:rPr>
                <w:i/>
                <w:iCs/>
                <w:color w:val="000000"/>
                <w:sz w:val="20"/>
                <w:szCs w:val="20"/>
              </w:rPr>
            </w:pPr>
          </w:p>
        </w:tc>
      </w:tr>
      <w:tr w:rsidR="00B764FC" w14:paraId="0D16E27A" w14:textId="77777777" w:rsidTr="00692CCA">
        <w:trPr>
          <w:trHeight w:val="397"/>
        </w:trPr>
        <w:tc>
          <w:tcPr>
            <w:tcW w:w="6199" w:type="dxa"/>
            <w:shd w:val="clear" w:color="auto" w:fill="F2F2F2" w:themeFill="background1" w:themeFillShade="F2"/>
            <w:vAlign w:val="center"/>
          </w:tcPr>
          <w:p w14:paraId="70B1C4E9" w14:textId="77777777" w:rsidR="00B764FC" w:rsidRDefault="00B764FC">
            <w:pPr>
              <w:rPr>
                <w:b/>
                <w:bCs/>
                <w:i/>
                <w:iCs/>
                <w:color w:val="000000"/>
                <w:sz w:val="20"/>
                <w:szCs w:val="20"/>
              </w:rPr>
            </w:pPr>
            <w:r>
              <w:rPr>
                <w:b/>
                <w:bCs/>
                <w:i/>
                <w:iCs/>
                <w:color w:val="000000"/>
                <w:sz w:val="20"/>
                <w:szCs w:val="20"/>
              </w:rPr>
              <w:t>Milestone 5 - Planning Project Elements</w:t>
            </w:r>
          </w:p>
        </w:tc>
        <w:tc>
          <w:tcPr>
            <w:tcW w:w="3015" w:type="dxa"/>
            <w:shd w:val="clear" w:color="auto" w:fill="F2F2F2" w:themeFill="background1" w:themeFillShade="F2"/>
          </w:tcPr>
          <w:p w14:paraId="6EDC1B79" w14:textId="77777777" w:rsidR="00B764FC" w:rsidRDefault="00B764FC">
            <w:pPr>
              <w:jc w:val="center"/>
              <w:rPr>
                <w:b/>
                <w:bCs/>
                <w:i/>
                <w:iCs/>
                <w:color w:val="000000"/>
                <w:sz w:val="20"/>
                <w:szCs w:val="20"/>
              </w:rPr>
            </w:pPr>
          </w:p>
        </w:tc>
      </w:tr>
      <w:tr w:rsidR="00B764FC" w14:paraId="1CABFB8D" w14:textId="77777777" w:rsidTr="00692CCA">
        <w:trPr>
          <w:trHeight w:val="397"/>
        </w:trPr>
        <w:tc>
          <w:tcPr>
            <w:tcW w:w="6199" w:type="dxa"/>
            <w:shd w:val="clear" w:color="auto" w:fill="FFFFFF" w:themeFill="background1"/>
            <w:vAlign w:val="center"/>
          </w:tcPr>
          <w:p w14:paraId="41FB1CFD" w14:textId="77777777" w:rsidR="00B764FC" w:rsidRDefault="00B764FC">
            <w:pPr>
              <w:rPr>
                <w:color w:val="000000"/>
                <w:sz w:val="20"/>
                <w:szCs w:val="20"/>
              </w:rPr>
            </w:pPr>
            <w:r>
              <w:rPr>
                <w:color w:val="000000"/>
                <w:sz w:val="20"/>
                <w:szCs w:val="20"/>
              </w:rPr>
              <w:t>Overview of: Affordable housing market overview; Social housing business models; Legal mechanisms for achieving social housing at a local government level; Partnership Opportunities</w:t>
            </w:r>
          </w:p>
        </w:tc>
        <w:tc>
          <w:tcPr>
            <w:tcW w:w="3015" w:type="dxa"/>
            <w:shd w:val="clear" w:color="auto" w:fill="FFFFFF" w:themeFill="background1"/>
          </w:tcPr>
          <w:p w14:paraId="5993F85D" w14:textId="77777777" w:rsidR="00B764FC" w:rsidRDefault="00B764FC">
            <w:pPr>
              <w:rPr>
                <w:i/>
                <w:iCs/>
                <w:color w:val="000000"/>
                <w:sz w:val="20"/>
                <w:szCs w:val="20"/>
              </w:rPr>
            </w:pPr>
            <w:r>
              <w:rPr>
                <w:i/>
                <w:iCs/>
                <w:color w:val="000000"/>
                <w:sz w:val="20"/>
                <w:szCs w:val="20"/>
              </w:rPr>
              <w:t xml:space="preserve">Background Report No. 2: </w:t>
            </w:r>
            <w:r>
              <w:rPr>
                <w:i/>
                <w:iCs/>
                <w:sz w:val="20"/>
                <w:szCs w:val="20"/>
              </w:rPr>
              <w:t>Affordable Housing Models</w:t>
            </w:r>
          </w:p>
        </w:tc>
      </w:tr>
      <w:tr w:rsidR="00B764FC" w14:paraId="19D209E3" w14:textId="77777777" w:rsidTr="00692CCA">
        <w:trPr>
          <w:trHeight w:val="397"/>
        </w:trPr>
        <w:tc>
          <w:tcPr>
            <w:tcW w:w="6199" w:type="dxa"/>
            <w:shd w:val="clear" w:color="auto" w:fill="FFFFFF" w:themeFill="background1"/>
            <w:vAlign w:val="center"/>
          </w:tcPr>
          <w:p w14:paraId="0CDE1C0E" w14:textId="77777777" w:rsidR="00B764FC" w:rsidRDefault="00B764FC">
            <w:pPr>
              <w:rPr>
                <w:color w:val="000000"/>
                <w:sz w:val="20"/>
                <w:szCs w:val="20"/>
              </w:rPr>
            </w:pPr>
            <w:r>
              <w:rPr>
                <w:color w:val="000000"/>
                <w:sz w:val="20"/>
                <w:szCs w:val="20"/>
              </w:rPr>
              <w:t>Overview of recent Planning Scheme Amendment Opportunities; Site Options</w:t>
            </w:r>
          </w:p>
        </w:tc>
        <w:tc>
          <w:tcPr>
            <w:tcW w:w="3015" w:type="dxa"/>
            <w:shd w:val="clear" w:color="auto" w:fill="FFFFFF" w:themeFill="background1"/>
          </w:tcPr>
          <w:p w14:paraId="3FE6F1AB" w14:textId="77777777" w:rsidR="00B764FC" w:rsidRDefault="00B764FC">
            <w:pPr>
              <w:rPr>
                <w:i/>
                <w:iCs/>
                <w:color w:val="000000"/>
                <w:sz w:val="20"/>
                <w:szCs w:val="20"/>
              </w:rPr>
            </w:pPr>
            <w:r>
              <w:rPr>
                <w:i/>
                <w:iCs/>
                <w:color w:val="000000"/>
                <w:sz w:val="20"/>
                <w:szCs w:val="20"/>
              </w:rPr>
              <w:t>Background Report No. 5 Land Audit</w:t>
            </w:r>
          </w:p>
        </w:tc>
      </w:tr>
      <w:tr w:rsidR="00B764FC" w14:paraId="3219C650" w14:textId="77777777" w:rsidTr="00692CCA">
        <w:trPr>
          <w:trHeight w:val="397"/>
        </w:trPr>
        <w:tc>
          <w:tcPr>
            <w:tcW w:w="6199" w:type="dxa"/>
            <w:shd w:val="clear" w:color="auto" w:fill="FFFFFF" w:themeFill="background1"/>
            <w:vAlign w:val="center"/>
          </w:tcPr>
          <w:p w14:paraId="29D1F7FF" w14:textId="77777777" w:rsidR="00B764FC" w:rsidRDefault="00B764FC">
            <w:pPr>
              <w:rPr>
                <w:color w:val="000000"/>
                <w:sz w:val="20"/>
                <w:szCs w:val="20"/>
              </w:rPr>
            </w:pPr>
            <w:r>
              <w:rPr>
                <w:color w:val="000000"/>
                <w:sz w:val="20"/>
                <w:szCs w:val="20"/>
              </w:rPr>
              <w:t>Draft Local Affordable Housing Policy</w:t>
            </w:r>
          </w:p>
        </w:tc>
        <w:tc>
          <w:tcPr>
            <w:tcW w:w="3015" w:type="dxa"/>
            <w:shd w:val="clear" w:color="auto" w:fill="FFFFFF" w:themeFill="background1"/>
          </w:tcPr>
          <w:p w14:paraId="7723C3C1" w14:textId="77777777" w:rsidR="00B764FC" w:rsidRDefault="00B764FC">
            <w:pPr>
              <w:rPr>
                <w:i/>
                <w:iCs/>
                <w:color w:val="000000"/>
                <w:sz w:val="20"/>
                <w:szCs w:val="20"/>
              </w:rPr>
            </w:pPr>
          </w:p>
        </w:tc>
      </w:tr>
      <w:tr w:rsidR="00B764FC" w14:paraId="2B3B462F" w14:textId="77777777" w:rsidTr="00692CCA">
        <w:trPr>
          <w:trHeight w:val="397"/>
        </w:trPr>
        <w:tc>
          <w:tcPr>
            <w:tcW w:w="6199" w:type="dxa"/>
            <w:shd w:val="clear" w:color="auto" w:fill="F2F2F2" w:themeFill="background1" w:themeFillShade="F2"/>
            <w:vAlign w:val="center"/>
          </w:tcPr>
          <w:p w14:paraId="21D9C700" w14:textId="77777777" w:rsidR="00B764FC" w:rsidRDefault="00B764FC">
            <w:pPr>
              <w:rPr>
                <w:b/>
                <w:bCs/>
                <w:i/>
                <w:iCs/>
                <w:color w:val="000000"/>
                <w:sz w:val="20"/>
                <w:szCs w:val="20"/>
              </w:rPr>
            </w:pPr>
            <w:r>
              <w:rPr>
                <w:b/>
                <w:bCs/>
                <w:i/>
                <w:iCs/>
                <w:color w:val="000000"/>
                <w:sz w:val="20"/>
                <w:szCs w:val="20"/>
              </w:rPr>
              <w:t>Milestone 6 – Draft Social Housing Plan</w:t>
            </w:r>
          </w:p>
        </w:tc>
        <w:tc>
          <w:tcPr>
            <w:tcW w:w="3015" w:type="dxa"/>
            <w:shd w:val="clear" w:color="auto" w:fill="F2F2F2" w:themeFill="background1" w:themeFillShade="F2"/>
          </w:tcPr>
          <w:p w14:paraId="3AB41FF8" w14:textId="77777777" w:rsidR="00B764FC" w:rsidRDefault="00B764FC">
            <w:pPr>
              <w:jc w:val="center"/>
              <w:rPr>
                <w:b/>
                <w:bCs/>
                <w:i/>
                <w:iCs/>
                <w:color w:val="000000"/>
                <w:sz w:val="20"/>
                <w:szCs w:val="20"/>
              </w:rPr>
            </w:pPr>
          </w:p>
        </w:tc>
      </w:tr>
      <w:tr w:rsidR="00B764FC" w14:paraId="07C2343F" w14:textId="77777777" w:rsidTr="00692CCA">
        <w:trPr>
          <w:trHeight w:val="397"/>
        </w:trPr>
        <w:tc>
          <w:tcPr>
            <w:tcW w:w="6199" w:type="dxa"/>
            <w:shd w:val="clear" w:color="auto" w:fill="FFFFFF" w:themeFill="background1"/>
            <w:vAlign w:val="center"/>
          </w:tcPr>
          <w:p w14:paraId="1C0051CB" w14:textId="596417DF" w:rsidR="00B764FC" w:rsidRDefault="00B764FC">
            <w:pPr>
              <w:rPr>
                <w:color w:val="000000"/>
                <w:sz w:val="20"/>
                <w:szCs w:val="20"/>
              </w:rPr>
            </w:pPr>
            <w:r>
              <w:rPr>
                <w:color w:val="000000"/>
                <w:sz w:val="20"/>
                <w:szCs w:val="20"/>
              </w:rPr>
              <w:t xml:space="preserve">Draft and Final City of Greater Geelong </w:t>
            </w:r>
            <w:r>
              <w:rPr>
                <w:i/>
                <w:iCs/>
                <w:color w:val="000000"/>
                <w:sz w:val="20"/>
                <w:szCs w:val="20"/>
              </w:rPr>
              <w:t>Social Housing Plan 20</w:t>
            </w:r>
            <w:r w:rsidR="003636C3">
              <w:rPr>
                <w:i/>
                <w:iCs/>
                <w:color w:val="000000"/>
                <w:sz w:val="20"/>
                <w:szCs w:val="20"/>
              </w:rPr>
              <w:t>20</w:t>
            </w:r>
            <w:r>
              <w:rPr>
                <w:i/>
                <w:iCs/>
                <w:color w:val="000000"/>
                <w:sz w:val="20"/>
                <w:szCs w:val="20"/>
              </w:rPr>
              <w:t xml:space="preserve"> - 2041</w:t>
            </w:r>
          </w:p>
        </w:tc>
        <w:tc>
          <w:tcPr>
            <w:tcW w:w="3015" w:type="dxa"/>
            <w:shd w:val="clear" w:color="auto" w:fill="FFFFFF" w:themeFill="background1"/>
          </w:tcPr>
          <w:p w14:paraId="534E8E9E" w14:textId="77777777" w:rsidR="00B764FC" w:rsidRDefault="00B764FC">
            <w:pPr>
              <w:rPr>
                <w:i/>
                <w:iCs/>
                <w:color w:val="000000"/>
                <w:sz w:val="20"/>
                <w:szCs w:val="20"/>
              </w:rPr>
            </w:pPr>
            <w:r>
              <w:rPr>
                <w:i/>
                <w:iCs/>
                <w:color w:val="000000"/>
                <w:sz w:val="20"/>
                <w:szCs w:val="20"/>
              </w:rPr>
              <w:t xml:space="preserve">Current document </w:t>
            </w:r>
          </w:p>
        </w:tc>
      </w:tr>
    </w:tbl>
    <w:p w14:paraId="405AF721" w14:textId="77777777" w:rsidR="00B764FC" w:rsidRDefault="00B764FC">
      <w:pPr>
        <w:spacing w:line="276" w:lineRule="auto"/>
        <w:ind w:left="1134"/>
        <w:rPr>
          <w:b/>
          <w:bCs/>
        </w:rPr>
      </w:pPr>
      <w:r>
        <w:br w:type="page"/>
      </w:r>
    </w:p>
    <w:p w14:paraId="7CC78733" w14:textId="77777777" w:rsidR="00B764FC" w:rsidRPr="00AE261C" w:rsidRDefault="00B764FC" w:rsidP="00077040">
      <w:pPr>
        <w:pStyle w:val="Heading1"/>
        <w:numPr>
          <w:ilvl w:val="0"/>
          <w:numId w:val="14"/>
        </w:numPr>
        <w:rPr>
          <w:color w:val="002060"/>
        </w:rPr>
      </w:pPr>
      <w:bookmarkStart w:id="32" w:name="_Toc22120165"/>
      <w:bookmarkStart w:id="33" w:name="_Toc17387323"/>
      <w:bookmarkStart w:id="34" w:name="_Ref17464234"/>
      <w:bookmarkStart w:id="35" w:name="_Ref17464243"/>
      <w:r w:rsidRPr="00AE261C">
        <w:rPr>
          <w:color w:val="002060"/>
        </w:rPr>
        <w:lastRenderedPageBreak/>
        <w:t>What did the Community tell us?</w:t>
      </w:r>
      <w:bookmarkEnd w:id="32"/>
      <w:r w:rsidRPr="00AE261C">
        <w:rPr>
          <w:color w:val="002060"/>
        </w:rPr>
        <w:t xml:space="preserve"> </w:t>
      </w:r>
    </w:p>
    <w:p w14:paraId="0D9AA40B" w14:textId="77777777" w:rsidR="00B764FC" w:rsidRDefault="00B764FC">
      <w:pPr>
        <w:pStyle w:val="ListParagraph"/>
        <w:spacing w:line="276" w:lineRule="auto"/>
        <w:ind w:left="1418" w:hanging="284"/>
        <w:jc w:val="both"/>
        <w:rPr>
          <w:sz w:val="20"/>
          <w:szCs w:val="20"/>
        </w:rPr>
      </w:pPr>
    </w:p>
    <w:p w14:paraId="0093FEDC" w14:textId="1214B97F" w:rsidR="00B764FC" w:rsidRDefault="00B764FC">
      <w:pPr>
        <w:spacing w:line="276" w:lineRule="auto"/>
        <w:jc w:val="both"/>
        <w:rPr>
          <w:sz w:val="22"/>
          <w:szCs w:val="22"/>
        </w:rPr>
      </w:pPr>
      <w:r>
        <w:rPr>
          <w:sz w:val="22"/>
          <w:szCs w:val="22"/>
        </w:rPr>
        <w:t xml:space="preserve">Consultations with the Geelong community played a very important part in developing the </w:t>
      </w:r>
      <w:r>
        <w:rPr>
          <w:i/>
          <w:iCs/>
          <w:sz w:val="22"/>
          <w:szCs w:val="22"/>
        </w:rPr>
        <w:t>City of Greater Geelong Social Housing Plan 20</w:t>
      </w:r>
      <w:r w:rsidR="003636C3">
        <w:rPr>
          <w:i/>
          <w:iCs/>
          <w:sz w:val="22"/>
          <w:szCs w:val="22"/>
        </w:rPr>
        <w:t>20</w:t>
      </w:r>
      <w:r>
        <w:rPr>
          <w:i/>
          <w:iCs/>
          <w:sz w:val="22"/>
          <w:szCs w:val="22"/>
        </w:rPr>
        <w:t xml:space="preserve"> – 2041</w:t>
      </w:r>
      <w:r>
        <w:rPr>
          <w:sz w:val="22"/>
          <w:szCs w:val="22"/>
        </w:rPr>
        <w:t xml:space="preserve">. Full details about all consultations and their results can be found in the </w:t>
      </w:r>
      <w:r>
        <w:rPr>
          <w:i/>
          <w:iCs/>
          <w:sz w:val="22"/>
          <w:szCs w:val="22"/>
        </w:rPr>
        <w:t xml:space="preserve">Background Report No. 1 – Engagement Report. </w:t>
      </w:r>
      <w:r>
        <w:rPr>
          <w:sz w:val="22"/>
          <w:szCs w:val="22"/>
        </w:rPr>
        <w:t xml:space="preserve">This section provides a summary of the key issues emerging through the consultations that need to be considered in the </w:t>
      </w:r>
      <w:r>
        <w:rPr>
          <w:i/>
          <w:iCs/>
          <w:sz w:val="22"/>
          <w:szCs w:val="22"/>
        </w:rPr>
        <w:t>Part B: The Social Housing Plan</w:t>
      </w:r>
      <w:r>
        <w:rPr>
          <w:sz w:val="22"/>
          <w:szCs w:val="22"/>
        </w:rPr>
        <w:t xml:space="preserve">. </w:t>
      </w:r>
    </w:p>
    <w:p w14:paraId="48A4EEA0" w14:textId="77777777" w:rsidR="00B764FC" w:rsidRDefault="00B764FC">
      <w:pPr>
        <w:rPr>
          <w:sz w:val="22"/>
          <w:szCs w:val="22"/>
        </w:rPr>
      </w:pPr>
    </w:p>
    <w:p w14:paraId="7A634C82" w14:textId="54038D02" w:rsidR="00B764FC" w:rsidRDefault="00B764FC">
      <w:pPr>
        <w:spacing w:line="276" w:lineRule="auto"/>
        <w:jc w:val="both"/>
        <w:rPr>
          <w:sz w:val="22"/>
          <w:szCs w:val="22"/>
        </w:rPr>
      </w:pPr>
      <w:r>
        <w:rPr>
          <w:sz w:val="22"/>
          <w:szCs w:val="22"/>
        </w:rPr>
        <w:t xml:space="preserve">In total, </w:t>
      </w:r>
      <w:r>
        <w:rPr>
          <w:b/>
          <w:bCs/>
          <w:sz w:val="22"/>
          <w:szCs w:val="22"/>
        </w:rPr>
        <w:t>194 people representing 50 organisations were directly engaged</w:t>
      </w:r>
      <w:r>
        <w:rPr>
          <w:sz w:val="22"/>
          <w:szCs w:val="22"/>
        </w:rPr>
        <w:t xml:space="preserve"> in the development of the </w:t>
      </w:r>
      <w:r>
        <w:rPr>
          <w:i/>
          <w:iCs/>
          <w:sz w:val="22"/>
          <w:szCs w:val="22"/>
        </w:rPr>
        <w:t>City of Greater Geelong Social Housing Plan 20</w:t>
      </w:r>
      <w:r w:rsidR="003636C3">
        <w:rPr>
          <w:i/>
          <w:iCs/>
          <w:sz w:val="22"/>
          <w:szCs w:val="22"/>
        </w:rPr>
        <w:t>20</w:t>
      </w:r>
      <w:r>
        <w:rPr>
          <w:i/>
          <w:iCs/>
          <w:sz w:val="22"/>
          <w:szCs w:val="22"/>
        </w:rPr>
        <w:t xml:space="preserve"> – 2041</w:t>
      </w:r>
      <w:r>
        <w:rPr>
          <w:sz w:val="22"/>
          <w:szCs w:val="22"/>
        </w:rPr>
        <w:t>.</w:t>
      </w:r>
    </w:p>
    <w:p w14:paraId="4E7B2178" w14:textId="77777777" w:rsidR="00B764FC" w:rsidRDefault="00B764FC">
      <w:pPr>
        <w:spacing w:line="276" w:lineRule="auto"/>
        <w:ind w:left="993"/>
        <w:jc w:val="both"/>
        <w:rPr>
          <w:sz w:val="22"/>
          <w:szCs w:val="22"/>
        </w:rPr>
      </w:pPr>
    </w:p>
    <w:p w14:paraId="64BFD760" w14:textId="5A00B5B1" w:rsidR="00B764FC" w:rsidRDefault="00B764FC">
      <w:pPr>
        <w:pStyle w:val="Caption"/>
        <w:keepNext/>
        <w:rPr>
          <w:b/>
          <w:bCs/>
        </w:rPr>
      </w:pPr>
      <w:bookmarkStart w:id="36" w:name="_Ref12712642"/>
      <w:bookmarkStart w:id="37" w:name="_Toc12729095"/>
      <w:bookmarkStart w:id="38" w:name="_Toc22120039"/>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4</w:t>
      </w:r>
      <w:r w:rsidR="00FF5CA4">
        <w:rPr>
          <w:b/>
          <w:bCs/>
        </w:rPr>
        <w:fldChar w:fldCharType="end"/>
      </w:r>
      <w:bookmarkEnd w:id="36"/>
      <w:r>
        <w:rPr>
          <w:b/>
          <w:bCs/>
        </w:rPr>
        <w:t xml:space="preserve">: Community Consultation Events </w:t>
      </w:r>
      <w:bookmarkEnd w:id="37"/>
      <w:r>
        <w:rPr>
          <w:b/>
          <w:bCs/>
        </w:rPr>
        <w:t>and Attendances</w:t>
      </w:r>
      <w:bookmarkEnd w:id="38"/>
    </w:p>
    <w:tbl>
      <w:tblPr>
        <w:tblW w:w="0" w:type="auto"/>
        <w:tblInd w:w="-106" w:type="dxa"/>
        <w:tblLayout w:type="fixed"/>
        <w:tblLook w:val="0000" w:firstRow="0" w:lastRow="0" w:firstColumn="0" w:lastColumn="0" w:noHBand="0" w:noVBand="0"/>
      </w:tblPr>
      <w:tblGrid>
        <w:gridCol w:w="3486"/>
        <w:gridCol w:w="2859"/>
        <w:gridCol w:w="2859"/>
      </w:tblGrid>
      <w:tr w:rsidR="00B764FC" w14:paraId="31714AAD" w14:textId="77777777" w:rsidTr="00AE261C">
        <w:trPr>
          <w:trHeight w:val="340"/>
        </w:trPr>
        <w:tc>
          <w:tcPr>
            <w:tcW w:w="3486" w:type="dxa"/>
            <w:tcBorders>
              <w:top w:val="single" w:sz="8" w:space="0" w:color="auto"/>
              <w:left w:val="nil"/>
              <w:bottom w:val="single" w:sz="8" w:space="0" w:color="auto"/>
              <w:right w:val="single" w:sz="8" w:space="0" w:color="FFFFFF"/>
            </w:tcBorders>
            <w:shd w:val="clear" w:color="auto" w:fill="002060"/>
            <w:vAlign w:val="center"/>
          </w:tcPr>
          <w:p w14:paraId="2EB67576" w14:textId="77777777" w:rsidR="00B764FC" w:rsidRDefault="00B764FC">
            <w:pPr>
              <w:rPr>
                <w:b/>
                <w:bCs/>
                <w:color w:val="FFFFFF"/>
                <w:sz w:val="20"/>
                <w:szCs w:val="20"/>
              </w:rPr>
            </w:pPr>
            <w:r>
              <w:rPr>
                <w:b/>
                <w:bCs/>
                <w:color w:val="FFFFFF"/>
                <w:sz w:val="20"/>
                <w:szCs w:val="20"/>
              </w:rPr>
              <w:t>Who (a)</w:t>
            </w:r>
          </w:p>
        </w:tc>
        <w:tc>
          <w:tcPr>
            <w:tcW w:w="2859" w:type="dxa"/>
            <w:tcBorders>
              <w:top w:val="single" w:sz="8" w:space="0" w:color="auto"/>
              <w:left w:val="nil"/>
              <w:bottom w:val="single" w:sz="8" w:space="0" w:color="auto"/>
              <w:right w:val="single" w:sz="8" w:space="0" w:color="FFFFFF"/>
            </w:tcBorders>
            <w:shd w:val="clear" w:color="auto" w:fill="002060"/>
            <w:vAlign w:val="center"/>
          </w:tcPr>
          <w:p w14:paraId="28C505D0" w14:textId="77777777" w:rsidR="00B764FC" w:rsidRDefault="00B764FC">
            <w:pPr>
              <w:jc w:val="center"/>
              <w:rPr>
                <w:b/>
                <w:bCs/>
                <w:color w:val="FFFFFF"/>
                <w:sz w:val="20"/>
                <w:szCs w:val="20"/>
              </w:rPr>
            </w:pPr>
            <w:r>
              <w:rPr>
                <w:b/>
                <w:bCs/>
                <w:color w:val="FFFFFF"/>
                <w:sz w:val="20"/>
                <w:szCs w:val="20"/>
              </w:rPr>
              <w:t>How</w:t>
            </w:r>
          </w:p>
        </w:tc>
        <w:tc>
          <w:tcPr>
            <w:tcW w:w="2859" w:type="dxa"/>
            <w:tcBorders>
              <w:top w:val="single" w:sz="8" w:space="0" w:color="auto"/>
              <w:left w:val="nil"/>
              <w:bottom w:val="single" w:sz="8" w:space="0" w:color="auto"/>
              <w:right w:val="single" w:sz="8" w:space="0" w:color="FFFFFF"/>
            </w:tcBorders>
            <w:shd w:val="clear" w:color="auto" w:fill="002060"/>
            <w:vAlign w:val="center"/>
          </w:tcPr>
          <w:p w14:paraId="297CBD27" w14:textId="77777777" w:rsidR="00B764FC" w:rsidRDefault="00B764FC">
            <w:pPr>
              <w:jc w:val="center"/>
              <w:rPr>
                <w:b/>
                <w:bCs/>
                <w:color w:val="FFFFFF"/>
                <w:sz w:val="20"/>
                <w:szCs w:val="20"/>
              </w:rPr>
            </w:pPr>
            <w:r>
              <w:rPr>
                <w:b/>
                <w:bCs/>
                <w:color w:val="FFFFFF"/>
                <w:sz w:val="20"/>
                <w:szCs w:val="20"/>
              </w:rPr>
              <w:t>How Many</w:t>
            </w:r>
          </w:p>
        </w:tc>
      </w:tr>
      <w:tr w:rsidR="00B764FC" w14:paraId="05C602E5" w14:textId="77777777">
        <w:trPr>
          <w:trHeight w:val="340"/>
        </w:trPr>
        <w:tc>
          <w:tcPr>
            <w:tcW w:w="3486" w:type="dxa"/>
            <w:tcBorders>
              <w:top w:val="single" w:sz="8" w:space="0" w:color="auto"/>
              <w:left w:val="nil"/>
              <w:bottom w:val="single" w:sz="8" w:space="0" w:color="auto"/>
              <w:right w:val="single" w:sz="8" w:space="0" w:color="FFFFFF"/>
            </w:tcBorders>
            <w:shd w:val="clear" w:color="000000" w:fill="FFFFFF"/>
            <w:vAlign w:val="center"/>
          </w:tcPr>
          <w:p w14:paraId="624A8997" w14:textId="77777777" w:rsidR="00B764FC" w:rsidRDefault="00B764FC">
            <w:pPr>
              <w:rPr>
                <w:b/>
                <w:bCs/>
                <w:color w:val="000000"/>
                <w:sz w:val="20"/>
                <w:szCs w:val="20"/>
              </w:rPr>
            </w:pPr>
            <w:r>
              <w:rPr>
                <w:b/>
                <w:bCs/>
                <w:color w:val="000000"/>
                <w:sz w:val="20"/>
                <w:szCs w:val="20"/>
              </w:rPr>
              <w:t>Social and Community Housing Tenants</w:t>
            </w:r>
          </w:p>
        </w:tc>
        <w:tc>
          <w:tcPr>
            <w:tcW w:w="2859" w:type="dxa"/>
            <w:tcBorders>
              <w:top w:val="single" w:sz="8" w:space="0" w:color="auto"/>
              <w:left w:val="single" w:sz="8" w:space="0" w:color="FFFFFF"/>
              <w:bottom w:val="single" w:sz="8" w:space="0" w:color="auto"/>
              <w:right w:val="single" w:sz="8" w:space="0" w:color="FFFFFF"/>
            </w:tcBorders>
            <w:shd w:val="clear" w:color="000000" w:fill="FFFFFF"/>
            <w:vAlign w:val="center"/>
          </w:tcPr>
          <w:p w14:paraId="608D4F47" w14:textId="77777777" w:rsidR="00B764FC" w:rsidRDefault="00B764FC">
            <w:pPr>
              <w:rPr>
                <w:color w:val="000000"/>
                <w:sz w:val="20"/>
                <w:szCs w:val="20"/>
              </w:rPr>
            </w:pPr>
            <w:r>
              <w:rPr>
                <w:color w:val="000000"/>
                <w:sz w:val="20"/>
                <w:szCs w:val="20"/>
              </w:rPr>
              <w:t>TWO workshop, kitchen table conversation style</w:t>
            </w:r>
          </w:p>
        </w:tc>
        <w:tc>
          <w:tcPr>
            <w:tcW w:w="2859" w:type="dxa"/>
            <w:tcBorders>
              <w:top w:val="single" w:sz="8" w:space="0" w:color="auto"/>
              <w:left w:val="nil"/>
              <w:bottom w:val="single" w:sz="8" w:space="0" w:color="auto"/>
              <w:right w:val="single" w:sz="8" w:space="0" w:color="FFFFFF"/>
            </w:tcBorders>
            <w:shd w:val="clear" w:color="000000" w:fill="FFFFFF"/>
            <w:vAlign w:val="center"/>
          </w:tcPr>
          <w:p w14:paraId="28274670" w14:textId="77777777" w:rsidR="00B764FC" w:rsidRDefault="00B764FC">
            <w:pPr>
              <w:rPr>
                <w:color w:val="000000"/>
                <w:sz w:val="20"/>
                <w:szCs w:val="20"/>
                <w:highlight w:val="yellow"/>
              </w:rPr>
            </w:pPr>
            <w:r>
              <w:rPr>
                <w:color w:val="000000"/>
                <w:sz w:val="20"/>
                <w:szCs w:val="20"/>
              </w:rPr>
              <w:t>20 attendees in total</w:t>
            </w:r>
          </w:p>
        </w:tc>
      </w:tr>
      <w:tr w:rsidR="00B764FC" w14:paraId="4DB500C1" w14:textId="77777777" w:rsidTr="00692CCA">
        <w:trPr>
          <w:cantSplit/>
          <w:trHeight w:val="340"/>
        </w:trPr>
        <w:tc>
          <w:tcPr>
            <w:tcW w:w="3486" w:type="dxa"/>
            <w:tcBorders>
              <w:top w:val="single" w:sz="8" w:space="0" w:color="auto"/>
              <w:left w:val="nil"/>
              <w:bottom w:val="single" w:sz="8" w:space="0" w:color="auto"/>
              <w:right w:val="single" w:sz="8" w:space="0" w:color="FFFFFF"/>
            </w:tcBorders>
            <w:shd w:val="clear" w:color="auto" w:fill="F2F2F2" w:themeFill="background1" w:themeFillShade="F2"/>
            <w:vAlign w:val="center"/>
          </w:tcPr>
          <w:p w14:paraId="1869B441" w14:textId="77777777" w:rsidR="00B764FC" w:rsidRDefault="00B764FC">
            <w:pPr>
              <w:rPr>
                <w:b/>
                <w:bCs/>
                <w:color w:val="000000"/>
                <w:sz w:val="20"/>
                <w:szCs w:val="20"/>
              </w:rPr>
            </w:pPr>
            <w:r>
              <w:rPr>
                <w:b/>
                <w:bCs/>
                <w:color w:val="000000"/>
                <w:sz w:val="20"/>
                <w:szCs w:val="20"/>
              </w:rPr>
              <w:t>Community Service Agencies</w:t>
            </w:r>
          </w:p>
        </w:tc>
        <w:tc>
          <w:tcPr>
            <w:tcW w:w="2859" w:type="dxa"/>
            <w:tcBorders>
              <w:top w:val="single" w:sz="8" w:space="0" w:color="auto"/>
              <w:left w:val="single" w:sz="8" w:space="0" w:color="FFFFFF"/>
              <w:bottom w:val="single" w:sz="8" w:space="0" w:color="auto"/>
              <w:right w:val="single" w:sz="8" w:space="0" w:color="FFFFFF"/>
            </w:tcBorders>
            <w:shd w:val="clear" w:color="auto" w:fill="F2F2F2" w:themeFill="background1" w:themeFillShade="F2"/>
            <w:vAlign w:val="center"/>
          </w:tcPr>
          <w:p w14:paraId="2A34E9C5" w14:textId="77777777" w:rsidR="00B764FC" w:rsidRDefault="00B764FC">
            <w:pPr>
              <w:rPr>
                <w:color w:val="000000"/>
                <w:sz w:val="20"/>
                <w:szCs w:val="20"/>
              </w:rPr>
            </w:pPr>
            <w:r>
              <w:rPr>
                <w:color w:val="000000"/>
                <w:sz w:val="20"/>
                <w:szCs w:val="20"/>
              </w:rPr>
              <w:t>TWO stakeholder workshops</w:t>
            </w:r>
          </w:p>
        </w:tc>
        <w:tc>
          <w:tcPr>
            <w:tcW w:w="2859" w:type="dxa"/>
            <w:vMerge w:val="restart"/>
            <w:tcBorders>
              <w:top w:val="single" w:sz="8" w:space="0" w:color="auto"/>
              <w:left w:val="nil"/>
              <w:bottom w:val="nil"/>
              <w:right w:val="single" w:sz="8" w:space="0" w:color="FFFFFF"/>
            </w:tcBorders>
            <w:shd w:val="clear" w:color="auto" w:fill="F2F2F2" w:themeFill="background1" w:themeFillShade="F2"/>
            <w:vAlign w:val="center"/>
          </w:tcPr>
          <w:p w14:paraId="4AF90155" w14:textId="77777777" w:rsidR="00B764FC" w:rsidRDefault="00B764FC">
            <w:pPr>
              <w:rPr>
                <w:color w:val="000000"/>
                <w:sz w:val="20"/>
                <w:szCs w:val="20"/>
              </w:rPr>
            </w:pPr>
            <w:r>
              <w:rPr>
                <w:color w:val="000000"/>
                <w:sz w:val="20"/>
                <w:szCs w:val="20"/>
              </w:rPr>
              <w:t>27 attendees in total</w:t>
            </w:r>
          </w:p>
        </w:tc>
      </w:tr>
      <w:tr w:rsidR="00B764FC" w14:paraId="7370B21E" w14:textId="77777777">
        <w:trPr>
          <w:cantSplit/>
          <w:trHeight w:val="340"/>
        </w:trPr>
        <w:tc>
          <w:tcPr>
            <w:tcW w:w="3486" w:type="dxa"/>
            <w:tcBorders>
              <w:top w:val="single" w:sz="8" w:space="0" w:color="auto"/>
              <w:left w:val="nil"/>
              <w:bottom w:val="single" w:sz="8" w:space="0" w:color="auto"/>
              <w:right w:val="single" w:sz="8" w:space="0" w:color="FFFFFF"/>
            </w:tcBorders>
            <w:shd w:val="clear" w:color="000000" w:fill="FFFFFF"/>
            <w:vAlign w:val="center"/>
          </w:tcPr>
          <w:p w14:paraId="33EAD504" w14:textId="77777777" w:rsidR="00B764FC" w:rsidRDefault="00B764FC">
            <w:pPr>
              <w:rPr>
                <w:b/>
                <w:bCs/>
                <w:color w:val="000000"/>
                <w:sz w:val="20"/>
                <w:szCs w:val="20"/>
              </w:rPr>
            </w:pPr>
            <w:r>
              <w:rPr>
                <w:b/>
                <w:bCs/>
                <w:color w:val="000000"/>
                <w:sz w:val="20"/>
                <w:szCs w:val="20"/>
              </w:rPr>
              <w:t xml:space="preserve">Housing Providers </w:t>
            </w:r>
          </w:p>
        </w:tc>
        <w:tc>
          <w:tcPr>
            <w:tcW w:w="2859" w:type="dxa"/>
            <w:tcBorders>
              <w:top w:val="single" w:sz="8" w:space="0" w:color="auto"/>
              <w:left w:val="single" w:sz="8" w:space="0" w:color="FFFFFF"/>
              <w:bottom w:val="single" w:sz="8" w:space="0" w:color="auto"/>
              <w:right w:val="single" w:sz="8" w:space="0" w:color="FFFFFF"/>
            </w:tcBorders>
            <w:shd w:val="clear" w:color="000000" w:fill="FFFFFF"/>
            <w:vAlign w:val="center"/>
          </w:tcPr>
          <w:p w14:paraId="52FAB951" w14:textId="77777777" w:rsidR="00B764FC" w:rsidRDefault="00B764FC">
            <w:pPr>
              <w:rPr>
                <w:color w:val="000000"/>
                <w:sz w:val="20"/>
                <w:szCs w:val="20"/>
              </w:rPr>
            </w:pPr>
            <w:r>
              <w:rPr>
                <w:color w:val="000000"/>
                <w:sz w:val="20"/>
                <w:szCs w:val="20"/>
              </w:rPr>
              <w:t>TWO stakeholder workshops</w:t>
            </w:r>
          </w:p>
        </w:tc>
        <w:tc>
          <w:tcPr>
            <w:tcW w:w="2859" w:type="dxa"/>
            <w:vMerge/>
            <w:tcBorders>
              <w:top w:val="nil"/>
              <w:left w:val="nil"/>
              <w:bottom w:val="single" w:sz="8" w:space="0" w:color="auto"/>
              <w:right w:val="single" w:sz="8" w:space="0" w:color="FFFFFF"/>
            </w:tcBorders>
            <w:shd w:val="clear" w:color="000000" w:fill="FFFFFF"/>
            <w:vAlign w:val="center"/>
          </w:tcPr>
          <w:p w14:paraId="77A44179" w14:textId="77777777" w:rsidR="00B764FC" w:rsidRDefault="00B764FC">
            <w:pPr>
              <w:rPr>
                <w:color w:val="000000"/>
                <w:sz w:val="20"/>
                <w:szCs w:val="20"/>
                <w:highlight w:val="yellow"/>
              </w:rPr>
            </w:pPr>
          </w:p>
        </w:tc>
      </w:tr>
      <w:tr w:rsidR="00B764FC" w14:paraId="7E2A360E" w14:textId="77777777" w:rsidTr="00692CCA">
        <w:trPr>
          <w:trHeight w:val="340"/>
        </w:trPr>
        <w:tc>
          <w:tcPr>
            <w:tcW w:w="3486" w:type="dxa"/>
            <w:tcBorders>
              <w:top w:val="single" w:sz="8" w:space="0" w:color="auto"/>
              <w:left w:val="nil"/>
              <w:bottom w:val="single" w:sz="8" w:space="0" w:color="auto"/>
              <w:right w:val="single" w:sz="8" w:space="0" w:color="FFFFFF"/>
            </w:tcBorders>
            <w:shd w:val="clear" w:color="auto" w:fill="F2F2F2" w:themeFill="background1" w:themeFillShade="F2"/>
            <w:vAlign w:val="center"/>
          </w:tcPr>
          <w:p w14:paraId="456E3025" w14:textId="77777777" w:rsidR="00B764FC" w:rsidRDefault="00B764FC">
            <w:pPr>
              <w:rPr>
                <w:b/>
                <w:bCs/>
                <w:color w:val="000000"/>
                <w:sz w:val="20"/>
                <w:szCs w:val="20"/>
              </w:rPr>
            </w:pPr>
            <w:r>
              <w:rPr>
                <w:b/>
                <w:bCs/>
                <w:color w:val="000000"/>
                <w:sz w:val="20"/>
                <w:szCs w:val="20"/>
              </w:rPr>
              <w:t>Industry Sector</w:t>
            </w:r>
          </w:p>
        </w:tc>
        <w:tc>
          <w:tcPr>
            <w:tcW w:w="2859" w:type="dxa"/>
            <w:tcBorders>
              <w:top w:val="single" w:sz="8" w:space="0" w:color="auto"/>
              <w:left w:val="single" w:sz="8" w:space="0" w:color="FFFFFF"/>
              <w:bottom w:val="single" w:sz="8" w:space="0" w:color="auto"/>
              <w:right w:val="single" w:sz="8" w:space="0" w:color="FFFFFF"/>
            </w:tcBorders>
            <w:shd w:val="clear" w:color="auto" w:fill="F2F2F2" w:themeFill="background1" w:themeFillShade="F2"/>
            <w:vAlign w:val="center"/>
          </w:tcPr>
          <w:p w14:paraId="2F39D009" w14:textId="77777777" w:rsidR="00B764FC" w:rsidRDefault="00B764FC">
            <w:pPr>
              <w:rPr>
                <w:color w:val="000000"/>
                <w:sz w:val="20"/>
                <w:szCs w:val="20"/>
              </w:rPr>
            </w:pPr>
            <w:r>
              <w:rPr>
                <w:color w:val="000000"/>
                <w:sz w:val="20"/>
                <w:szCs w:val="20"/>
              </w:rPr>
              <w:t>TWO stakeholder workshops</w:t>
            </w:r>
          </w:p>
        </w:tc>
        <w:tc>
          <w:tcPr>
            <w:tcW w:w="2859" w:type="dxa"/>
            <w:tcBorders>
              <w:top w:val="single" w:sz="8" w:space="0" w:color="auto"/>
              <w:left w:val="nil"/>
              <w:bottom w:val="single" w:sz="8" w:space="0" w:color="auto"/>
              <w:right w:val="single" w:sz="8" w:space="0" w:color="FFFFFF"/>
            </w:tcBorders>
            <w:shd w:val="clear" w:color="auto" w:fill="F2F2F2" w:themeFill="background1" w:themeFillShade="F2"/>
            <w:vAlign w:val="center"/>
          </w:tcPr>
          <w:p w14:paraId="57EEC5E1" w14:textId="77777777" w:rsidR="00B764FC" w:rsidRDefault="00B764FC">
            <w:pPr>
              <w:rPr>
                <w:color w:val="000000"/>
                <w:sz w:val="20"/>
                <w:szCs w:val="20"/>
              </w:rPr>
            </w:pPr>
            <w:r>
              <w:rPr>
                <w:color w:val="000000"/>
                <w:sz w:val="20"/>
                <w:szCs w:val="20"/>
              </w:rPr>
              <w:t>26 attendees in total</w:t>
            </w:r>
          </w:p>
        </w:tc>
      </w:tr>
      <w:tr w:rsidR="00B764FC" w14:paraId="290BA53F" w14:textId="77777777">
        <w:trPr>
          <w:trHeight w:val="340"/>
        </w:trPr>
        <w:tc>
          <w:tcPr>
            <w:tcW w:w="3486" w:type="dxa"/>
            <w:tcBorders>
              <w:top w:val="single" w:sz="8" w:space="0" w:color="auto"/>
              <w:left w:val="nil"/>
              <w:bottom w:val="single" w:sz="8" w:space="0" w:color="auto"/>
              <w:right w:val="single" w:sz="8" w:space="0" w:color="FFFFFF"/>
            </w:tcBorders>
            <w:shd w:val="clear" w:color="000000" w:fill="FFFFFF"/>
            <w:vAlign w:val="center"/>
          </w:tcPr>
          <w:p w14:paraId="3468B7D0" w14:textId="77777777" w:rsidR="00B764FC" w:rsidRDefault="00B764FC">
            <w:pPr>
              <w:rPr>
                <w:b/>
                <w:bCs/>
                <w:color w:val="000000"/>
                <w:sz w:val="20"/>
                <w:szCs w:val="20"/>
              </w:rPr>
            </w:pPr>
            <w:r>
              <w:rPr>
                <w:b/>
                <w:bCs/>
                <w:color w:val="000000"/>
                <w:sz w:val="20"/>
                <w:szCs w:val="20"/>
              </w:rPr>
              <w:t>Locations of High Housing Stress</w:t>
            </w:r>
          </w:p>
        </w:tc>
        <w:tc>
          <w:tcPr>
            <w:tcW w:w="2859" w:type="dxa"/>
            <w:tcBorders>
              <w:top w:val="single" w:sz="8" w:space="0" w:color="auto"/>
              <w:left w:val="single" w:sz="8" w:space="0" w:color="FFFFFF"/>
              <w:bottom w:val="single" w:sz="8" w:space="0" w:color="auto"/>
              <w:right w:val="single" w:sz="8" w:space="0" w:color="FFFFFF"/>
            </w:tcBorders>
            <w:shd w:val="clear" w:color="000000" w:fill="FFFFFF"/>
            <w:vAlign w:val="center"/>
          </w:tcPr>
          <w:p w14:paraId="306082CD" w14:textId="77777777" w:rsidR="00B764FC" w:rsidRDefault="00B764FC">
            <w:pPr>
              <w:rPr>
                <w:color w:val="000000"/>
                <w:sz w:val="20"/>
                <w:szCs w:val="20"/>
              </w:rPr>
            </w:pPr>
            <w:r>
              <w:rPr>
                <w:color w:val="000000"/>
                <w:sz w:val="20"/>
                <w:szCs w:val="20"/>
              </w:rPr>
              <w:t>TWO stakeholder workshops</w:t>
            </w:r>
          </w:p>
        </w:tc>
        <w:tc>
          <w:tcPr>
            <w:tcW w:w="2859" w:type="dxa"/>
            <w:tcBorders>
              <w:top w:val="single" w:sz="8" w:space="0" w:color="auto"/>
              <w:left w:val="nil"/>
              <w:bottom w:val="single" w:sz="8" w:space="0" w:color="auto"/>
              <w:right w:val="single" w:sz="8" w:space="0" w:color="FFFFFF"/>
            </w:tcBorders>
            <w:shd w:val="clear" w:color="000000" w:fill="FFFFFF"/>
            <w:vAlign w:val="center"/>
          </w:tcPr>
          <w:p w14:paraId="0186BCF5" w14:textId="77777777" w:rsidR="00B764FC" w:rsidRDefault="00B764FC">
            <w:pPr>
              <w:rPr>
                <w:color w:val="000000"/>
                <w:sz w:val="20"/>
                <w:szCs w:val="20"/>
                <w:highlight w:val="yellow"/>
              </w:rPr>
            </w:pPr>
            <w:r>
              <w:rPr>
                <w:color w:val="000000"/>
                <w:sz w:val="20"/>
                <w:szCs w:val="20"/>
              </w:rPr>
              <w:t>28 attendees</w:t>
            </w:r>
          </w:p>
        </w:tc>
      </w:tr>
      <w:tr w:rsidR="00B764FC" w14:paraId="2309B1A9" w14:textId="77777777" w:rsidTr="00692CCA">
        <w:trPr>
          <w:trHeight w:val="340"/>
        </w:trPr>
        <w:tc>
          <w:tcPr>
            <w:tcW w:w="3486" w:type="dxa"/>
            <w:tcBorders>
              <w:top w:val="single" w:sz="8" w:space="0" w:color="auto"/>
              <w:left w:val="nil"/>
              <w:bottom w:val="single" w:sz="8" w:space="0" w:color="auto"/>
              <w:right w:val="single" w:sz="8" w:space="0" w:color="FFFFFF"/>
            </w:tcBorders>
            <w:shd w:val="clear" w:color="auto" w:fill="F2F2F2" w:themeFill="background1" w:themeFillShade="F2"/>
            <w:vAlign w:val="center"/>
          </w:tcPr>
          <w:p w14:paraId="3ECF3C1A" w14:textId="77777777" w:rsidR="00B764FC" w:rsidRDefault="00B764FC">
            <w:pPr>
              <w:rPr>
                <w:b/>
                <w:bCs/>
                <w:color w:val="000000"/>
                <w:sz w:val="20"/>
                <w:szCs w:val="20"/>
              </w:rPr>
            </w:pPr>
            <w:r>
              <w:rPr>
                <w:b/>
                <w:bCs/>
                <w:color w:val="000000"/>
                <w:sz w:val="20"/>
                <w:szCs w:val="20"/>
              </w:rPr>
              <w:t>General Community</w:t>
            </w:r>
          </w:p>
        </w:tc>
        <w:tc>
          <w:tcPr>
            <w:tcW w:w="2859" w:type="dxa"/>
            <w:tcBorders>
              <w:top w:val="single" w:sz="8" w:space="0" w:color="auto"/>
              <w:left w:val="single" w:sz="8" w:space="0" w:color="FFFFFF"/>
              <w:bottom w:val="single" w:sz="8" w:space="0" w:color="auto"/>
              <w:right w:val="nil"/>
            </w:tcBorders>
            <w:shd w:val="clear" w:color="auto" w:fill="F2F2F2" w:themeFill="background1" w:themeFillShade="F2"/>
            <w:vAlign w:val="center"/>
          </w:tcPr>
          <w:p w14:paraId="2F418B19" w14:textId="77777777" w:rsidR="00B764FC" w:rsidRDefault="00B764FC">
            <w:pPr>
              <w:rPr>
                <w:color w:val="000000"/>
                <w:sz w:val="20"/>
                <w:szCs w:val="20"/>
              </w:rPr>
            </w:pPr>
            <w:r>
              <w:rPr>
                <w:color w:val="000000"/>
                <w:sz w:val="20"/>
                <w:szCs w:val="20"/>
              </w:rPr>
              <w:t>Community Forum - June 2019</w:t>
            </w:r>
          </w:p>
          <w:p w14:paraId="0082118E" w14:textId="77777777" w:rsidR="00B764FC" w:rsidRDefault="00B764FC">
            <w:pPr>
              <w:rPr>
                <w:sz w:val="20"/>
                <w:szCs w:val="20"/>
              </w:rPr>
            </w:pPr>
          </w:p>
          <w:p w14:paraId="18E83567" w14:textId="77777777" w:rsidR="00B764FC" w:rsidRDefault="00B764FC">
            <w:pPr>
              <w:rPr>
                <w:color w:val="000000"/>
                <w:sz w:val="20"/>
                <w:szCs w:val="20"/>
              </w:rPr>
            </w:pPr>
            <w:r>
              <w:rPr>
                <w:sz w:val="20"/>
                <w:szCs w:val="20"/>
              </w:rPr>
              <w:t xml:space="preserve">City of Greater Geelong </w:t>
            </w:r>
            <w:r>
              <w:rPr>
                <w:color w:val="000000"/>
                <w:sz w:val="20"/>
                <w:szCs w:val="20"/>
              </w:rPr>
              <w:t>Access and Inclusion Advisory Committee</w:t>
            </w:r>
          </w:p>
        </w:tc>
        <w:tc>
          <w:tcPr>
            <w:tcW w:w="2859" w:type="dxa"/>
            <w:tcBorders>
              <w:top w:val="single" w:sz="8" w:space="0" w:color="auto"/>
              <w:left w:val="single" w:sz="8" w:space="0" w:color="FFFFFF"/>
              <w:bottom w:val="single" w:sz="8" w:space="0" w:color="auto"/>
              <w:right w:val="single" w:sz="8" w:space="0" w:color="FFFFFF"/>
            </w:tcBorders>
            <w:shd w:val="clear" w:color="auto" w:fill="F2F2F2" w:themeFill="background1" w:themeFillShade="F2"/>
          </w:tcPr>
          <w:p w14:paraId="1F556878" w14:textId="77777777" w:rsidR="00B764FC" w:rsidRDefault="00B764FC">
            <w:pPr>
              <w:rPr>
                <w:color w:val="000000"/>
                <w:sz w:val="20"/>
                <w:szCs w:val="20"/>
              </w:rPr>
            </w:pPr>
            <w:r>
              <w:rPr>
                <w:color w:val="000000"/>
                <w:sz w:val="20"/>
                <w:szCs w:val="20"/>
              </w:rPr>
              <w:t>84 attendees</w:t>
            </w:r>
          </w:p>
          <w:p w14:paraId="2A957D7A" w14:textId="77777777" w:rsidR="00B764FC" w:rsidRDefault="00B764FC">
            <w:pPr>
              <w:rPr>
                <w:color w:val="000000"/>
                <w:sz w:val="20"/>
                <w:szCs w:val="20"/>
              </w:rPr>
            </w:pPr>
          </w:p>
          <w:p w14:paraId="43FB8427" w14:textId="77777777" w:rsidR="00B764FC" w:rsidRDefault="00B764FC">
            <w:pPr>
              <w:rPr>
                <w:color w:val="000000"/>
                <w:sz w:val="20"/>
                <w:szCs w:val="20"/>
              </w:rPr>
            </w:pPr>
            <w:r>
              <w:rPr>
                <w:color w:val="000000"/>
                <w:sz w:val="20"/>
                <w:szCs w:val="20"/>
              </w:rPr>
              <w:t xml:space="preserve">9 attendees </w:t>
            </w:r>
          </w:p>
        </w:tc>
      </w:tr>
    </w:tbl>
    <w:p w14:paraId="45F16853" w14:textId="77777777" w:rsidR="00B764FC" w:rsidRDefault="00B764FC">
      <w:pPr>
        <w:pStyle w:val="ListParagraph"/>
        <w:ind w:left="0"/>
        <w:jc w:val="both"/>
        <w:rPr>
          <w:sz w:val="20"/>
          <w:szCs w:val="20"/>
        </w:rPr>
      </w:pPr>
      <w:r>
        <w:rPr>
          <w:sz w:val="20"/>
          <w:szCs w:val="20"/>
        </w:rPr>
        <w:t xml:space="preserve">NB: Please refer to the ‘Attachments’ for full Definitions of each group consulted and a list of all organisations engaged. </w:t>
      </w:r>
    </w:p>
    <w:p w14:paraId="593C2060" w14:textId="77777777" w:rsidR="00B764FC" w:rsidRDefault="00B764FC">
      <w:pPr>
        <w:spacing w:line="276" w:lineRule="auto"/>
        <w:rPr>
          <w:color w:val="000000"/>
          <w:sz w:val="22"/>
          <w:szCs w:val="22"/>
        </w:rPr>
      </w:pPr>
    </w:p>
    <w:p w14:paraId="72B2F61D" w14:textId="77777777" w:rsidR="00B764FC" w:rsidRDefault="00B764FC">
      <w:pPr>
        <w:rPr>
          <w:sz w:val="22"/>
          <w:szCs w:val="22"/>
        </w:rPr>
      </w:pPr>
      <w:r>
        <w:rPr>
          <w:sz w:val="22"/>
          <w:szCs w:val="22"/>
        </w:rPr>
        <w:t>Key issues emerging through these engagements include:</w:t>
      </w:r>
    </w:p>
    <w:p w14:paraId="56989E4F" w14:textId="77777777" w:rsidR="00B764FC" w:rsidRDefault="00B764FC"/>
    <w:p w14:paraId="37FE2C91" w14:textId="77777777" w:rsidR="00B764FC" w:rsidRDefault="00B764FC" w:rsidP="00077040">
      <w:pPr>
        <w:pStyle w:val="ListParagraph"/>
        <w:numPr>
          <w:ilvl w:val="0"/>
          <w:numId w:val="34"/>
        </w:numPr>
        <w:spacing w:line="276" w:lineRule="auto"/>
        <w:rPr>
          <w:sz w:val="22"/>
          <w:szCs w:val="22"/>
        </w:rPr>
      </w:pPr>
      <w:r>
        <w:rPr>
          <w:sz w:val="22"/>
          <w:szCs w:val="22"/>
        </w:rPr>
        <w:t>Strengths and challenges of current social housing stock</w:t>
      </w:r>
    </w:p>
    <w:p w14:paraId="2D0097C9" w14:textId="77777777" w:rsidR="00B764FC" w:rsidRDefault="00B764FC" w:rsidP="00077040">
      <w:pPr>
        <w:pStyle w:val="ListParagraph"/>
        <w:numPr>
          <w:ilvl w:val="0"/>
          <w:numId w:val="34"/>
        </w:numPr>
        <w:spacing w:line="276" w:lineRule="auto"/>
        <w:rPr>
          <w:sz w:val="22"/>
          <w:szCs w:val="22"/>
        </w:rPr>
      </w:pPr>
      <w:r>
        <w:rPr>
          <w:sz w:val="22"/>
          <w:szCs w:val="22"/>
        </w:rPr>
        <w:t xml:space="preserve">Identified groups who need social housing </w:t>
      </w:r>
    </w:p>
    <w:p w14:paraId="0ACBBD15" w14:textId="77777777" w:rsidR="00B764FC" w:rsidRDefault="00B764FC" w:rsidP="00077040">
      <w:pPr>
        <w:pStyle w:val="ListParagraph"/>
        <w:numPr>
          <w:ilvl w:val="0"/>
          <w:numId w:val="34"/>
        </w:numPr>
        <w:spacing w:line="276" w:lineRule="auto"/>
        <w:rPr>
          <w:sz w:val="22"/>
          <w:szCs w:val="22"/>
        </w:rPr>
      </w:pPr>
      <w:r>
        <w:rPr>
          <w:sz w:val="22"/>
          <w:szCs w:val="22"/>
        </w:rPr>
        <w:t>Identified areas of social housing need</w:t>
      </w:r>
    </w:p>
    <w:p w14:paraId="452197E9" w14:textId="77777777" w:rsidR="00B764FC" w:rsidRDefault="00B764FC" w:rsidP="00077040">
      <w:pPr>
        <w:pStyle w:val="ListParagraph"/>
        <w:numPr>
          <w:ilvl w:val="0"/>
          <w:numId w:val="34"/>
        </w:numPr>
        <w:spacing w:line="276" w:lineRule="auto"/>
        <w:rPr>
          <w:sz w:val="22"/>
          <w:szCs w:val="22"/>
        </w:rPr>
      </w:pPr>
      <w:r>
        <w:rPr>
          <w:sz w:val="22"/>
          <w:szCs w:val="22"/>
        </w:rPr>
        <w:t xml:space="preserve">Current responses that support the supply of social housing </w:t>
      </w:r>
    </w:p>
    <w:p w14:paraId="34CD91D9" w14:textId="77777777" w:rsidR="00B764FC" w:rsidRDefault="00B764FC" w:rsidP="00077040">
      <w:pPr>
        <w:pStyle w:val="ListParagraph"/>
        <w:numPr>
          <w:ilvl w:val="0"/>
          <w:numId w:val="34"/>
        </w:numPr>
        <w:spacing w:line="276" w:lineRule="auto"/>
        <w:rPr>
          <w:sz w:val="22"/>
          <w:szCs w:val="22"/>
        </w:rPr>
      </w:pPr>
      <w:r>
        <w:rPr>
          <w:sz w:val="22"/>
          <w:szCs w:val="22"/>
        </w:rPr>
        <w:t>Potential responses to increase the supply of social housing</w:t>
      </w:r>
    </w:p>
    <w:p w14:paraId="4D610141" w14:textId="77777777" w:rsidR="00B764FC" w:rsidRDefault="00B764FC" w:rsidP="00077040">
      <w:pPr>
        <w:pStyle w:val="ListParagraph"/>
        <w:numPr>
          <w:ilvl w:val="0"/>
          <w:numId w:val="34"/>
        </w:numPr>
        <w:spacing w:line="276" w:lineRule="auto"/>
        <w:rPr>
          <w:sz w:val="22"/>
          <w:szCs w:val="22"/>
        </w:rPr>
      </w:pPr>
      <w:r>
        <w:rPr>
          <w:sz w:val="22"/>
          <w:szCs w:val="22"/>
        </w:rPr>
        <w:t xml:space="preserve">Other supports that make social housing successful </w:t>
      </w:r>
    </w:p>
    <w:p w14:paraId="1D7A0923" w14:textId="77777777" w:rsidR="00B764FC" w:rsidRDefault="00B764FC"/>
    <w:p w14:paraId="6DBD341E" w14:textId="77777777" w:rsidR="00B764FC" w:rsidRDefault="00B764FC">
      <w:pPr>
        <w:rPr>
          <w:sz w:val="22"/>
          <w:szCs w:val="22"/>
        </w:rPr>
      </w:pPr>
      <w:r>
        <w:rPr>
          <w:sz w:val="22"/>
          <w:szCs w:val="22"/>
        </w:rPr>
        <w:t xml:space="preserve">These issues are summarised in the following table. </w:t>
      </w:r>
    </w:p>
    <w:p w14:paraId="0E8549C7" w14:textId="77777777" w:rsidR="00B764FC" w:rsidRDefault="00B764FC">
      <w:pPr>
        <w:rPr>
          <w:sz w:val="22"/>
          <w:szCs w:val="22"/>
        </w:rPr>
      </w:pPr>
    </w:p>
    <w:p w14:paraId="2A6C19E8" w14:textId="77777777" w:rsidR="00B764FC" w:rsidRDefault="00B764FC">
      <w:pPr>
        <w:rPr>
          <w:sz w:val="22"/>
          <w:szCs w:val="22"/>
        </w:rPr>
      </w:pPr>
    </w:p>
    <w:p w14:paraId="102A9F1E" w14:textId="77777777" w:rsidR="00B764FC" w:rsidRDefault="00B764FC">
      <w:pPr>
        <w:rPr>
          <w:sz w:val="22"/>
          <w:szCs w:val="22"/>
        </w:rPr>
      </w:pPr>
    </w:p>
    <w:p w14:paraId="4E270077" w14:textId="77777777" w:rsidR="00B764FC" w:rsidRDefault="00B764FC">
      <w:pPr>
        <w:rPr>
          <w:sz w:val="22"/>
          <w:szCs w:val="22"/>
        </w:rPr>
      </w:pPr>
    </w:p>
    <w:p w14:paraId="4949A268" w14:textId="77777777" w:rsidR="00B764FC" w:rsidRDefault="00B764FC">
      <w:pPr>
        <w:rPr>
          <w:sz w:val="22"/>
          <w:szCs w:val="22"/>
        </w:rPr>
      </w:pPr>
    </w:p>
    <w:p w14:paraId="28E84D12" w14:textId="77777777" w:rsidR="00B764FC" w:rsidRDefault="00B764FC">
      <w:pPr>
        <w:rPr>
          <w:sz w:val="22"/>
          <w:szCs w:val="22"/>
        </w:rPr>
      </w:pPr>
    </w:p>
    <w:p w14:paraId="72E1647B" w14:textId="10700B0A" w:rsidR="00B764FC" w:rsidRDefault="00B764FC">
      <w:pPr>
        <w:pStyle w:val="Caption"/>
        <w:keepNext/>
        <w:rPr>
          <w:b/>
          <w:bCs/>
        </w:rPr>
      </w:pPr>
      <w:bookmarkStart w:id="39" w:name="_Toc22120040"/>
      <w:r>
        <w:rPr>
          <w:b/>
          <w:bCs/>
        </w:rPr>
        <w:lastRenderedPageBreak/>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5</w:t>
      </w:r>
      <w:r w:rsidR="00FF5CA4">
        <w:rPr>
          <w:b/>
          <w:bCs/>
        </w:rPr>
        <w:fldChar w:fldCharType="end"/>
      </w:r>
      <w:r>
        <w:rPr>
          <w:b/>
          <w:bCs/>
        </w:rPr>
        <w:t>: What Did the Community Tell Us?</w:t>
      </w:r>
      <w:bookmarkEnd w:id="39"/>
      <w:r>
        <w:rPr>
          <w:b/>
          <w:bCs/>
        </w:rPr>
        <w:t xml:space="preserve"> </w:t>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4536"/>
        <w:gridCol w:w="4602"/>
      </w:tblGrid>
      <w:tr w:rsidR="00B764FC" w14:paraId="17E0F55B" w14:textId="77777777" w:rsidTr="00E46895">
        <w:trPr>
          <w:tblHeader/>
        </w:trPr>
        <w:tc>
          <w:tcPr>
            <w:tcW w:w="4536" w:type="dxa"/>
            <w:tcBorders>
              <w:left w:val="nil"/>
              <w:right w:val="nil"/>
            </w:tcBorders>
            <w:shd w:val="clear" w:color="auto" w:fill="002060"/>
          </w:tcPr>
          <w:p w14:paraId="4BD8C4AF" w14:textId="77777777" w:rsidR="00B764FC" w:rsidRDefault="00B764FC">
            <w:pPr>
              <w:spacing w:line="276" w:lineRule="auto"/>
              <w:jc w:val="center"/>
              <w:rPr>
                <w:b/>
                <w:bCs/>
                <w:color w:val="FFFFFF"/>
                <w:sz w:val="20"/>
                <w:szCs w:val="20"/>
              </w:rPr>
            </w:pPr>
            <w:r>
              <w:rPr>
                <w:b/>
                <w:bCs/>
                <w:color w:val="FFFFFF"/>
                <w:sz w:val="20"/>
                <w:szCs w:val="20"/>
              </w:rPr>
              <w:t>Key Themes Emerging through Community Consultations</w:t>
            </w:r>
          </w:p>
        </w:tc>
        <w:tc>
          <w:tcPr>
            <w:tcW w:w="4602" w:type="dxa"/>
            <w:tcBorders>
              <w:left w:val="nil"/>
              <w:right w:val="nil"/>
            </w:tcBorders>
            <w:shd w:val="clear" w:color="auto" w:fill="002060"/>
          </w:tcPr>
          <w:p w14:paraId="55FE4D1B" w14:textId="77777777" w:rsidR="00B764FC" w:rsidRDefault="00B764FC">
            <w:pPr>
              <w:spacing w:line="276" w:lineRule="auto"/>
              <w:jc w:val="center"/>
              <w:rPr>
                <w:b/>
                <w:bCs/>
                <w:color w:val="FFFFFF"/>
                <w:sz w:val="20"/>
                <w:szCs w:val="20"/>
              </w:rPr>
            </w:pPr>
            <w:r>
              <w:rPr>
                <w:b/>
                <w:bCs/>
                <w:color w:val="FFFFFF"/>
                <w:sz w:val="20"/>
                <w:szCs w:val="20"/>
              </w:rPr>
              <w:t>Specific Comments Provided by Community</w:t>
            </w:r>
          </w:p>
        </w:tc>
      </w:tr>
      <w:tr w:rsidR="00B764FC" w14:paraId="7AF54014" w14:textId="77777777">
        <w:tc>
          <w:tcPr>
            <w:tcW w:w="9138" w:type="dxa"/>
            <w:gridSpan w:val="2"/>
            <w:tcBorders>
              <w:left w:val="nil"/>
              <w:right w:val="nil"/>
            </w:tcBorders>
            <w:shd w:val="clear" w:color="auto" w:fill="FFFFFF"/>
          </w:tcPr>
          <w:p w14:paraId="2C3150CB" w14:textId="77777777" w:rsidR="00B764FC" w:rsidRDefault="00B764FC">
            <w:pPr>
              <w:spacing w:line="276" w:lineRule="auto"/>
              <w:jc w:val="center"/>
              <w:rPr>
                <w:b/>
                <w:bCs/>
                <w:i/>
                <w:iCs/>
                <w:sz w:val="20"/>
                <w:szCs w:val="20"/>
              </w:rPr>
            </w:pPr>
            <w:r>
              <w:rPr>
                <w:b/>
                <w:bCs/>
                <w:i/>
                <w:iCs/>
                <w:sz w:val="20"/>
                <w:szCs w:val="20"/>
              </w:rPr>
              <w:t>Current Social Housing Stock in Geelong – What Works Well Now?</w:t>
            </w:r>
          </w:p>
        </w:tc>
      </w:tr>
      <w:tr w:rsidR="00B764FC" w14:paraId="1936580F" w14:textId="77777777">
        <w:tc>
          <w:tcPr>
            <w:tcW w:w="4536" w:type="dxa"/>
            <w:tcBorders>
              <w:left w:val="nil"/>
              <w:right w:val="nil"/>
            </w:tcBorders>
            <w:vAlign w:val="center"/>
          </w:tcPr>
          <w:p w14:paraId="2DA83248" w14:textId="77777777" w:rsidR="00B764FC" w:rsidRDefault="00B764FC" w:rsidP="00077040">
            <w:pPr>
              <w:pStyle w:val="ListParagraph"/>
              <w:numPr>
                <w:ilvl w:val="0"/>
                <w:numId w:val="28"/>
              </w:numPr>
              <w:spacing w:line="276" w:lineRule="auto"/>
              <w:ind w:left="604" w:hanging="283"/>
              <w:rPr>
                <w:sz w:val="20"/>
                <w:szCs w:val="20"/>
              </w:rPr>
            </w:pPr>
            <w:r>
              <w:rPr>
                <w:sz w:val="20"/>
                <w:szCs w:val="20"/>
              </w:rPr>
              <w:t>Design</w:t>
            </w:r>
          </w:p>
          <w:p w14:paraId="289DC71B" w14:textId="77777777" w:rsidR="00B764FC" w:rsidRDefault="00B764FC" w:rsidP="00077040">
            <w:pPr>
              <w:pStyle w:val="ListParagraph"/>
              <w:numPr>
                <w:ilvl w:val="0"/>
                <w:numId w:val="28"/>
              </w:numPr>
              <w:spacing w:line="276" w:lineRule="auto"/>
              <w:ind w:left="604" w:hanging="283"/>
              <w:rPr>
                <w:sz w:val="20"/>
                <w:szCs w:val="20"/>
              </w:rPr>
            </w:pPr>
            <w:r>
              <w:rPr>
                <w:sz w:val="20"/>
                <w:szCs w:val="20"/>
              </w:rPr>
              <w:t>Permanence</w:t>
            </w:r>
          </w:p>
          <w:p w14:paraId="47EC0D35" w14:textId="77777777" w:rsidR="00B764FC" w:rsidRDefault="00B764FC" w:rsidP="00077040">
            <w:pPr>
              <w:pStyle w:val="ListParagraph"/>
              <w:numPr>
                <w:ilvl w:val="0"/>
                <w:numId w:val="28"/>
              </w:numPr>
              <w:spacing w:line="276" w:lineRule="auto"/>
              <w:ind w:left="604" w:hanging="283"/>
              <w:rPr>
                <w:sz w:val="20"/>
                <w:szCs w:val="20"/>
              </w:rPr>
            </w:pPr>
            <w:r>
              <w:rPr>
                <w:sz w:val="20"/>
                <w:szCs w:val="20"/>
              </w:rPr>
              <w:t>Affordability</w:t>
            </w:r>
          </w:p>
          <w:p w14:paraId="45C37F26" w14:textId="77777777" w:rsidR="00B764FC" w:rsidRDefault="00B764FC" w:rsidP="00077040">
            <w:pPr>
              <w:pStyle w:val="ListParagraph"/>
              <w:numPr>
                <w:ilvl w:val="0"/>
                <w:numId w:val="28"/>
              </w:numPr>
              <w:spacing w:line="276" w:lineRule="auto"/>
              <w:ind w:left="604" w:hanging="283"/>
              <w:rPr>
                <w:sz w:val="20"/>
                <w:szCs w:val="20"/>
              </w:rPr>
            </w:pPr>
            <w:r>
              <w:rPr>
                <w:sz w:val="20"/>
                <w:szCs w:val="20"/>
              </w:rPr>
              <w:t>Accessibility</w:t>
            </w:r>
          </w:p>
          <w:p w14:paraId="77F1A6EC" w14:textId="77777777" w:rsidR="00B764FC" w:rsidRDefault="00B764FC" w:rsidP="00077040">
            <w:pPr>
              <w:pStyle w:val="ListParagraph"/>
              <w:numPr>
                <w:ilvl w:val="0"/>
                <w:numId w:val="28"/>
              </w:numPr>
              <w:spacing w:after="240" w:line="276" w:lineRule="auto"/>
              <w:ind w:left="604" w:hanging="283"/>
              <w:rPr>
                <w:sz w:val="20"/>
                <w:szCs w:val="20"/>
              </w:rPr>
            </w:pPr>
            <w:r>
              <w:rPr>
                <w:sz w:val="20"/>
                <w:szCs w:val="20"/>
              </w:rPr>
              <w:t>Safety and Social Benefits</w:t>
            </w:r>
          </w:p>
          <w:p w14:paraId="0C9DAEF0" w14:textId="77777777" w:rsidR="00B764FC" w:rsidRDefault="00B764FC">
            <w:pPr>
              <w:spacing w:line="276" w:lineRule="auto"/>
              <w:rPr>
                <w:sz w:val="20"/>
                <w:szCs w:val="20"/>
              </w:rPr>
            </w:pPr>
          </w:p>
        </w:tc>
        <w:tc>
          <w:tcPr>
            <w:tcW w:w="4602" w:type="dxa"/>
            <w:tcBorders>
              <w:left w:val="nil"/>
              <w:right w:val="nil"/>
            </w:tcBorders>
          </w:tcPr>
          <w:p w14:paraId="184CE2C4" w14:textId="77777777" w:rsidR="00B764FC" w:rsidRDefault="00B764FC" w:rsidP="00077040">
            <w:pPr>
              <w:pStyle w:val="ListParagraph"/>
              <w:numPr>
                <w:ilvl w:val="0"/>
                <w:numId w:val="35"/>
              </w:numPr>
              <w:spacing w:before="240" w:line="276" w:lineRule="auto"/>
              <w:ind w:left="252" w:hanging="252"/>
              <w:rPr>
                <w:i/>
                <w:iCs/>
                <w:sz w:val="20"/>
                <w:szCs w:val="20"/>
              </w:rPr>
            </w:pPr>
            <w:r>
              <w:rPr>
                <w:i/>
                <w:iCs/>
                <w:sz w:val="20"/>
                <w:szCs w:val="20"/>
              </w:rPr>
              <w:t>It’s a beautiful unit - got everything</w:t>
            </w:r>
          </w:p>
          <w:p w14:paraId="58A427CF"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Housing coops provide real opportunities for residents to build their skills and get involved</w:t>
            </w:r>
          </w:p>
          <w:p w14:paraId="2C98094A"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Having staff on site helps make the place feel safe and supportive</w:t>
            </w:r>
          </w:p>
          <w:p w14:paraId="5FA93499"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I am not going to be kicked out.  This is the biggest thing</w:t>
            </w:r>
          </w:p>
          <w:p w14:paraId="7953ADD1"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I wouldn't move for anything</w:t>
            </w:r>
          </w:p>
          <w:p w14:paraId="1A401BC5"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Rent is affordable</w:t>
            </w:r>
          </w:p>
          <w:p w14:paraId="28761D53"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Like everything, permanent, can be here for ever</w:t>
            </w:r>
          </w:p>
          <w:p w14:paraId="564FBAF0"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I love where it is, quiet, affordable and modern</w:t>
            </w:r>
          </w:p>
          <w:p w14:paraId="4BC37575" w14:textId="77777777" w:rsidR="00B764FC" w:rsidRDefault="00B764FC" w:rsidP="00077040">
            <w:pPr>
              <w:pStyle w:val="ListParagraph"/>
              <w:numPr>
                <w:ilvl w:val="0"/>
                <w:numId w:val="35"/>
              </w:numPr>
              <w:spacing w:line="276" w:lineRule="auto"/>
              <w:ind w:left="252" w:hanging="252"/>
              <w:rPr>
                <w:i/>
                <w:iCs/>
                <w:sz w:val="20"/>
                <w:szCs w:val="20"/>
              </w:rPr>
            </w:pPr>
            <w:r>
              <w:rPr>
                <w:i/>
                <w:iCs/>
                <w:sz w:val="20"/>
                <w:szCs w:val="20"/>
              </w:rPr>
              <w:t>I like long term affordable housing</w:t>
            </w:r>
          </w:p>
          <w:p w14:paraId="247DF567"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Stay where I am forever (Baptcare Norlane)</w:t>
            </w:r>
          </w:p>
          <w:p w14:paraId="0F3C397A"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Bigger place, I can do things I want to do like piano keyboard.</w:t>
            </w:r>
          </w:p>
          <w:p w14:paraId="1475B49F"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I am lucky to have a cat and I couldn’t in my old place</w:t>
            </w:r>
          </w:p>
          <w:p w14:paraId="029EED31"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Security of residence</w:t>
            </w:r>
          </w:p>
          <w:p w14:paraId="25FE1179"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 xml:space="preserve">I wouldn't move for anything                                                                                        </w:t>
            </w:r>
          </w:p>
          <w:p w14:paraId="1EF109EE" w14:textId="697040F8"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 xml:space="preserve">I am close to everything and it is a unit on one level and I don’t like steps    </w:t>
            </w:r>
            <w:r>
              <w:rPr>
                <w:i/>
                <w:iCs/>
                <w:color w:val="000000"/>
                <w:sz w:val="20"/>
                <w:szCs w:val="20"/>
              </w:rPr>
              <w:br/>
              <w:t>Close amenities – buses and gardens</w:t>
            </w:r>
          </w:p>
          <w:p w14:paraId="2016B812" w14:textId="77777777" w:rsidR="00B764FC" w:rsidRDefault="00B764FC" w:rsidP="00077040">
            <w:pPr>
              <w:pStyle w:val="ListParagraph"/>
              <w:numPr>
                <w:ilvl w:val="0"/>
                <w:numId w:val="35"/>
              </w:numPr>
              <w:spacing w:line="276" w:lineRule="auto"/>
              <w:ind w:left="252" w:hanging="252"/>
              <w:rPr>
                <w:i/>
                <w:iCs/>
                <w:sz w:val="20"/>
                <w:szCs w:val="20"/>
              </w:rPr>
            </w:pPr>
            <w:r>
              <w:rPr>
                <w:i/>
                <w:iCs/>
                <w:color w:val="000000"/>
                <w:sz w:val="20"/>
                <w:szCs w:val="20"/>
              </w:rPr>
              <w:t>I know local shops – I can drive to those</w:t>
            </w:r>
          </w:p>
          <w:p w14:paraId="22A03E64"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There is a network of people who can support you</w:t>
            </w:r>
          </w:p>
          <w:p w14:paraId="7886507A" w14:textId="77777777" w:rsidR="00B764FC" w:rsidRDefault="00B764FC" w:rsidP="00077040">
            <w:pPr>
              <w:pStyle w:val="ListParagraph"/>
              <w:numPr>
                <w:ilvl w:val="0"/>
                <w:numId w:val="35"/>
              </w:numPr>
              <w:ind w:left="252" w:hanging="252"/>
              <w:rPr>
                <w:i/>
                <w:iCs/>
                <w:color w:val="000000"/>
                <w:sz w:val="20"/>
                <w:szCs w:val="20"/>
              </w:rPr>
            </w:pPr>
            <w:r>
              <w:rPr>
                <w:i/>
                <w:iCs/>
                <w:color w:val="000000"/>
                <w:sz w:val="20"/>
                <w:szCs w:val="20"/>
              </w:rPr>
              <w:t>We can stay even if one of us passes away – secure to stay</w:t>
            </w:r>
          </w:p>
          <w:p w14:paraId="53CA4378" w14:textId="77777777" w:rsidR="00B764FC" w:rsidRDefault="00B764FC">
            <w:pPr>
              <w:spacing w:after="240" w:line="276" w:lineRule="auto"/>
              <w:ind w:left="252" w:hanging="252"/>
              <w:rPr>
                <w:i/>
                <w:iCs/>
                <w:sz w:val="20"/>
                <w:szCs w:val="20"/>
              </w:rPr>
            </w:pPr>
            <w:r>
              <w:rPr>
                <w:i/>
                <w:iCs/>
                <w:sz w:val="20"/>
                <w:szCs w:val="20"/>
              </w:rPr>
              <w:t xml:space="preserve">      (Social and Community Housing Tenants)</w:t>
            </w:r>
          </w:p>
          <w:p w14:paraId="118B22D8" w14:textId="77777777" w:rsidR="00B764FC" w:rsidRDefault="00B764FC" w:rsidP="00077040">
            <w:pPr>
              <w:pStyle w:val="ListParagraph"/>
              <w:numPr>
                <w:ilvl w:val="0"/>
                <w:numId w:val="36"/>
              </w:numPr>
              <w:spacing w:before="240" w:line="276" w:lineRule="auto"/>
              <w:ind w:left="312" w:hanging="426"/>
              <w:rPr>
                <w:i/>
                <w:iCs/>
                <w:color w:val="000000"/>
                <w:sz w:val="20"/>
                <w:szCs w:val="20"/>
              </w:rPr>
            </w:pPr>
            <w:r>
              <w:rPr>
                <w:i/>
                <w:iCs/>
                <w:color w:val="000000"/>
                <w:sz w:val="20"/>
                <w:szCs w:val="20"/>
              </w:rPr>
              <w:t xml:space="preserve">Social housing is a very important part of ensuring a mix of housing for those in need                                                                                  </w:t>
            </w:r>
          </w:p>
          <w:p w14:paraId="21C4808D" w14:textId="77777777" w:rsidR="00B764FC" w:rsidRDefault="00B764FC" w:rsidP="00077040">
            <w:pPr>
              <w:pStyle w:val="ListParagraph"/>
              <w:numPr>
                <w:ilvl w:val="0"/>
                <w:numId w:val="36"/>
              </w:numPr>
              <w:spacing w:line="276" w:lineRule="auto"/>
              <w:ind w:left="312" w:hanging="426"/>
              <w:rPr>
                <w:i/>
                <w:iCs/>
                <w:color w:val="000000"/>
                <w:sz w:val="20"/>
                <w:szCs w:val="20"/>
              </w:rPr>
            </w:pPr>
            <w:r>
              <w:rPr>
                <w:i/>
                <w:iCs/>
                <w:color w:val="000000"/>
                <w:sz w:val="20"/>
                <w:szCs w:val="20"/>
              </w:rPr>
              <w:t>Our houses create new beginnings for people …they are able to have stability in their lives, can go back to study, can look for employment</w:t>
            </w:r>
          </w:p>
          <w:p w14:paraId="0A847106" w14:textId="77777777" w:rsidR="00B764FC" w:rsidRDefault="00B764FC" w:rsidP="00077040">
            <w:pPr>
              <w:pStyle w:val="ListParagraph"/>
              <w:numPr>
                <w:ilvl w:val="0"/>
                <w:numId w:val="36"/>
              </w:numPr>
              <w:spacing w:line="276" w:lineRule="auto"/>
              <w:ind w:left="312" w:hanging="426"/>
              <w:rPr>
                <w:i/>
                <w:iCs/>
                <w:color w:val="000000"/>
                <w:sz w:val="20"/>
                <w:szCs w:val="20"/>
              </w:rPr>
            </w:pPr>
            <w:r>
              <w:rPr>
                <w:i/>
                <w:iCs/>
                <w:color w:val="000000"/>
                <w:sz w:val="20"/>
                <w:szCs w:val="20"/>
              </w:rPr>
              <w:t xml:space="preserve">Research into the benefits of our housing for our tenants showed improvement in mental health, physical health, academic performance etc </w:t>
            </w:r>
          </w:p>
          <w:p w14:paraId="15F0B7D1" w14:textId="77777777" w:rsidR="00B764FC" w:rsidRDefault="00B764FC" w:rsidP="00077040">
            <w:pPr>
              <w:pStyle w:val="ListParagraph"/>
              <w:numPr>
                <w:ilvl w:val="0"/>
                <w:numId w:val="36"/>
              </w:numPr>
              <w:spacing w:line="276" w:lineRule="auto"/>
              <w:ind w:left="312" w:hanging="426"/>
              <w:rPr>
                <w:i/>
                <w:iCs/>
                <w:color w:val="000000"/>
                <w:sz w:val="20"/>
                <w:szCs w:val="20"/>
              </w:rPr>
            </w:pPr>
            <w:r>
              <w:rPr>
                <w:i/>
                <w:iCs/>
                <w:color w:val="000000"/>
                <w:sz w:val="20"/>
                <w:szCs w:val="20"/>
              </w:rPr>
              <w:t xml:space="preserve">Contributing to breaking the intergenerational cycle of poverty                                                                                                                               </w:t>
            </w:r>
          </w:p>
          <w:p w14:paraId="4EC88F16" w14:textId="77777777" w:rsidR="00B764FC" w:rsidRDefault="00B764FC" w:rsidP="00077040">
            <w:pPr>
              <w:pStyle w:val="ListParagraph"/>
              <w:numPr>
                <w:ilvl w:val="0"/>
                <w:numId w:val="36"/>
              </w:numPr>
              <w:spacing w:line="276" w:lineRule="auto"/>
              <w:ind w:left="312" w:hanging="426"/>
              <w:rPr>
                <w:i/>
                <w:iCs/>
                <w:color w:val="000000"/>
                <w:sz w:val="20"/>
                <w:szCs w:val="20"/>
              </w:rPr>
            </w:pPr>
            <w:r>
              <w:rPr>
                <w:i/>
                <w:iCs/>
                <w:color w:val="000000"/>
                <w:sz w:val="20"/>
                <w:szCs w:val="20"/>
              </w:rPr>
              <w:t xml:space="preserve">Social Housing provides the opportunity for people to re-establish themselves                                                                                                      </w:t>
            </w:r>
          </w:p>
          <w:p w14:paraId="7F2627BD" w14:textId="77777777" w:rsidR="00B764FC" w:rsidRDefault="00B764FC" w:rsidP="00077040">
            <w:pPr>
              <w:pStyle w:val="ListParagraph"/>
              <w:numPr>
                <w:ilvl w:val="0"/>
                <w:numId w:val="36"/>
              </w:numPr>
              <w:spacing w:line="276" w:lineRule="auto"/>
              <w:ind w:left="312" w:hanging="426"/>
              <w:rPr>
                <w:i/>
                <w:iCs/>
                <w:color w:val="000000"/>
                <w:sz w:val="20"/>
                <w:szCs w:val="20"/>
              </w:rPr>
            </w:pPr>
            <w:r>
              <w:rPr>
                <w:i/>
                <w:iCs/>
                <w:color w:val="000000"/>
                <w:sz w:val="20"/>
                <w:szCs w:val="20"/>
              </w:rPr>
              <w:t xml:space="preserve">Massive health benefit and social benefits we tend not to count the multiplier effects, the social benefits </w:t>
            </w:r>
          </w:p>
          <w:p w14:paraId="75CF7B50" w14:textId="77777777" w:rsidR="00B764FC" w:rsidRDefault="00B764FC">
            <w:pPr>
              <w:rPr>
                <w:i/>
                <w:iCs/>
                <w:sz w:val="20"/>
                <w:szCs w:val="20"/>
              </w:rPr>
            </w:pPr>
            <w:r>
              <w:rPr>
                <w:i/>
                <w:iCs/>
                <w:sz w:val="20"/>
                <w:szCs w:val="20"/>
              </w:rPr>
              <w:t xml:space="preserve">    (Community Forum Participants)</w:t>
            </w:r>
          </w:p>
          <w:p w14:paraId="33BA9D6E" w14:textId="77777777" w:rsidR="00B764FC" w:rsidRDefault="00B764FC">
            <w:pPr>
              <w:rPr>
                <w:i/>
                <w:iCs/>
                <w:sz w:val="20"/>
                <w:szCs w:val="20"/>
              </w:rPr>
            </w:pPr>
          </w:p>
        </w:tc>
      </w:tr>
      <w:tr w:rsidR="00B764FC" w14:paraId="3CB41AAC" w14:textId="77777777">
        <w:tc>
          <w:tcPr>
            <w:tcW w:w="9138" w:type="dxa"/>
            <w:gridSpan w:val="2"/>
            <w:tcBorders>
              <w:left w:val="nil"/>
              <w:right w:val="nil"/>
            </w:tcBorders>
            <w:shd w:val="clear" w:color="auto" w:fill="FFFFFF"/>
          </w:tcPr>
          <w:p w14:paraId="54DCFBC8" w14:textId="77777777" w:rsidR="00B764FC" w:rsidRDefault="00B764FC">
            <w:pPr>
              <w:spacing w:line="276" w:lineRule="auto"/>
              <w:jc w:val="center"/>
              <w:rPr>
                <w:b/>
                <w:bCs/>
                <w:i/>
                <w:iCs/>
                <w:sz w:val="20"/>
                <w:szCs w:val="20"/>
              </w:rPr>
            </w:pPr>
            <w:r>
              <w:rPr>
                <w:b/>
                <w:bCs/>
                <w:i/>
                <w:iCs/>
                <w:sz w:val="20"/>
                <w:szCs w:val="20"/>
              </w:rPr>
              <w:lastRenderedPageBreak/>
              <w:t>Current Social Housing Stock – Limitations Identified by the Community</w:t>
            </w:r>
          </w:p>
        </w:tc>
      </w:tr>
      <w:tr w:rsidR="00B764FC" w14:paraId="3037D818" w14:textId="77777777">
        <w:tc>
          <w:tcPr>
            <w:tcW w:w="4536" w:type="dxa"/>
            <w:tcBorders>
              <w:left w:val="nil"/>
              <w:right w:val="nil"/>
            </w:tcBorders>
            <w:vAlign w:val="center"/>
          </w:tcPr>
          <w:p w14:paraId="64700B5A" w14:textId="77777777" w:rsidR="00B764FC" w:rsidRDefault="00B764FC" w:rsidP="00077040">
            <w:pPr>
              <w:pStyle w:val="ListParagraph"/>
              <w:numPr>
                <w:ilvl w:val="0"/>
                <w:numId w:val="27"/>
              </w:numPr>
              <w:spacing w:line="276" w:lineRule="auto"/>
              <w:ind w:left="306" w:hanging="142"/>
              <w:rPr>
                <w:sz w:val="20"/>
                <w:szCs w:val="20"/>
              </w:rPr>
            </w:pPr>
            <w:r>
              <w:rPr>
                <w:sz w:val="20"/>
                <w:szCs w:val="20"/>
              </w:rPr>
              <w:t>Need for upgrades</w:t>
            </w:r>
          </w:p>
          <w:p w14:paraId="397077DA" w14:textId="77777777" w:rsidR="00B764FC" w:rsidRDefault="00B764FC" w:rsidP="00077040">
            <w:pPr>
              <w:pStyle w:val="ListParagraph"/>
              <w:numPr>
                <w:ilvl w:val="0"/>
                <w:numId w:val="27"/>
              </w:numPr>
              <w:spacing w:line="276" w:lineRule="auto"/>
              <w:ind w:left="306" w:hanging="142"/>
              <w:rPr>
                <w:sz w:val="20"/>
                <w:szCs w:val="20"/>
              </w:rPr>
            </w:pPr>
            <w:r>
              <w:rPr>
                <w:sz w:val="20"/>
                <w:szCs w:val="20"/>
              </w:rPr>
              <w:t>Lack of supporting infrastructure</w:t>
            </w:r>
          </w:p>
          <w:p w14:paraId="2AB2BF36" w14:textId="77777777" w:rsidR="00B764FC" w:rsidRDefault="00B764FC" w:rsidP="00077040">
            <w:pPr>
              <w:pStyle w:val="ListParagraph"/>
              <w:numPr>
                <w:ilvl w:val="0"/>
                <w:numId w:val="27"/>
              </w:numPr>
              <w:spacing w:line="276" w:lineRule="auto"/>
              <w:ind w:left="306" w:hanging="142"/>
              <w:rPr>
                <w:sz w:val="20"/>
                <w:szCs w:val="20"/>
              </w:rPr>
            </w:pPr>
            <w:r>
              <w:rPr>
                <w:sz w:val="20"/>
                <w:szCs w:val="20"/>
              </w:rPr>
              <w:t>Inadequate stock maintenance</w:t>
            </w:r>
          </w:p>
          <w:p w14:paraId="265E4C5E" w14:textId="77777777" w:rsidR="00B764FC" w:rsidRDefault="00B764FC" w:rsidP="00077040">
            <w:pPr>
              <w:pStyle w:val="ListParagraph"/>
              <w:numPr>
                <w:ilvl w:val="0"/>
                <w:numId w:val="27"/>
              </w:numPr>
              <w:spacing w:line="276" w:lineRule="auto"/>
              <w:ind w:left="306" w:hanging="142"/>
              <w:rPr>
                <w:sz w:val="20"/>
                <w:szCs w:val="20"/>
              </w:rPr>
            </w:pPr>
            <w:r>
              <w:rPr>
                <w:sz w:val="20"/>
                <w:szCs w:val="20"/>
              </w:rPr>
              <w:t>Poor building condition</w:t>
            </w:r>
          </w:p>
          <w:p w14:paraId="0AA46C26" w14:textId="77777777" w:rsidR="00B764FC" w:rsidRDefault="00B764FC" w:rsidP="00077040">
            <w:pPr>
              <w:pStyle w:val="ListParagraph"/>
              <w:numPr>
                <w:ilvl w:val="0"/>
                <w:numId w:val="27"/>
              </w:numPr>
              <w:spacing w:line="276" w:lineRule="auto"/>
              <w:ind w:left="306" w:hanging="142"/>
              <w:rPr>
                <w:sz w:val="20"/>
                <w:szCs w:val="20"/>
              </w:rPr>
            </w:pPr>
            <w:r>
              <w:rPr>
                <w:sz w:val="20"/>
                <w:szCs w:val="20"/>
              </w:rPr>
              <w:t>Limited ability to move tenants into new properties</w:t>
            </w:r>
          </w:p>
          <w:p w14:paraId="60D5918B" w14:textId="77777777" w:rsidR="00B764FC" w:rsidRDefault="00B764FC" w:rsidP="00077040">
            <w:pPr>
              <w:pStyle w:val="ListParagraph"/>
              <w:numPr>
                <w:ilvl w:val="0"/>
                <w:numId w:val="27"/>
              </w:numPr>
              <w:spacing w:line="276" w:lineRule="auto"/>
              <w:ind w:left="306" w:hanging="142"/>
              <w:rPr>
                <w:sz w:val="20"/>
                <w:szCs w:val="20"/>
              </w:rPr>
            </w:pPr>
            <w:r>
              <w:rPr>
                <w:sz w:val="20"/>
                <w:szCs w:val="20"/>
              </w:rPr>
              <w:t>Poor community perception based on poor stock condition</w:t>
            </w:r>
          </w:p>
          <w:p w14:paraId="7C3D73FC" w14:textId="77777777" w:rsidR="00B764FC" w:rsidRDefault="00B764FC" w:rsidP="00077040">
            <w:pPr>
              <w:pStyle w:val="ListParagraph"/>
              <w:numPr>
                <w:ilvl w:val="0"/>
                <w:numId w:val="27"/>
              </w:numPr>
              <w:spacing w:line="276" w:lineRule="auto"/>
              <w:ind w:left="306" w:hanging="142"/>
              <w:rPr>
                <w:sz w:val="20"/>
                <w:szCs w:val="20"/>
              </w:rPr>
            </w:pPr>
            <w:r>
              <w:rPr>
                <w:sz w:val="20"/>
                <w:szCs w:val="20"/>
              </w:rPr>
              <w:t>Low standards</w:t>
            </w:r>
          </w:p>
          <w:p w14:paraId="5C97795D" w14:textId="77777777" w:rsidR="00B764FC" w:rsidRDefault="00B764FC" w:rsidP="00077040">
            <w:pPr>
              <w:pStyle w:val="ListParagraph"/>
              <w:numPr>
                <w:ilvl w:val="0"/>
                <w:numId w:val="27"/>
              </w:numPr>
              <w:spacing w:line="276" w:lineRule="auto"/>
              <w:ind w:left="306" w:hanging="142"/>
              <w:rPr>
                <w:sz w:val="20"/>
                <w:szCs w:val="20"/>
              </w:rPr>
            </w:pPr>
            <w:r>
              <w:rPr>
                <w:sz w:val="20"/>
                <w:szCs w:val="20"/>
              </w:rPr>
              <w:t xml:space="preserve">Declining stock </w:t>
            </w:r>
          </w:p>
          <w:p w14:paraId="3A17D780" w14:textId="77777777" w:rsidR="00B764FC" w:rsidRDefault="00B764FC">
            <w:pPr>
              <w:spacing w:line="276" w:lineRule="auto"/>
              <w:rPr>
                <w:sz w:val="20"/>
                <w:szCs w:val="20"/>
              </w:rPr>
            </w:pPr>
          </w:p>
        </w:tc>
        <w:tc>
          <w:tcPr>
            <w:tcW w:w="4602" w:type="dxa"/>
            <w:tcBorders>
              <w:left w:val="nil"/>
              <w:right w:val="nil"/>
            </w:tcBorders>
          </w:tcPr>
          <w:p w14:paraId="3FB326DC" w14:textId="77777777" w:rsidR="00B764FC" w:rsidRDefault="00B764FC" w:rsidP="00077040">
            <w:pPr>
              <w:pStyle w:val="ListParagraph"/>
              <w:numPr>
                <w:ilvl w:val="0"/>
                <w:numId w:val="27"/>
              </w:numPr>
              <w:spacing w:before="240" w:line="276" w:lineRule="auto"/>
              <w:ind w:left="252" w:hanging="252"/>
              <w:rPr>
                <w:i/>
                <w:iCs/>
                <w:sz w:val="20"/>
                <w:szCs w:val="20"/>
              </w:rPr>
            </w:pPr>
            <w:r>
              <w:rPr>
                <w:i/>
                <w:iCs/>
                <w:sz w:val="20"/>
                <w:szCs w:val="20"/>
              </w:rPr>
              <w:t>Existing public housing standards are far less now than should be expected</w:t>
            </w:r>
          </w:p>
          <w:p w14:paraId="56E6AC33" w14:textId="77777777" w:rsidR="00B764FC" w:rsidRDefault="00B764FC">
            <w:pPr>
              <w:spacing w:line="276" w:lineRule="auto"/>
              <w:ind w:left="252" w:hanging="252"/>
              <w:rPr>
                <w:i/>
                <w:iCs/>
                <w:sz w:val="20"/>
                <w:szCs w:val="20"/>
              </w:rPr>
            </w:pPr>
            <w:r>
              <w:rPr>
                <w:i/>
                <w:iCs/>
                <w:sz w:val="20"/>
                <w:szCs w:val="20"/>
              </w:rPr>
              <w:t xml:space="preserve">     (City of Greater Geelong Access and Inclusion Advisory Committee)</w:t>
            </w:r>
          </w:p>
          <w:p w14:paraId="6A68F80B" w14:textId="77777777" w:rsidR="00B764FC" w:rsidRDefault="00B764FC" w:rsidP="00077040">
            <w:pPr>
              <w:pStyle w:val="ListParagraph"/>
              <w:numPr>
                <w:ilvl w:val="0"/>
                <w:numId w:val="27"/>
              </w:numPr>
              <w:spacing w:line="276" w:lineRule="auto"/>
              <w:ind w:left="252" w:hanging="252"/>
              <w:rPr>
                <w:i/>
                <w:iCs/>
                <w:sz w:val="20"/>
                <w:szCs w:val="20"/>
              </w:rPr>
            </w:pPr>
            <w:r>
              <w:rPr>
                <w:i/>
                <w:iCs/>
                <w:sz w:val="20"/>
                <w:szCs w:val="20"/>
              </w:rPr>
              <w:t xml:space="preserve">We need updated personal requirements in our current locations, wider halls, bigger bathrooms and wheelchair access   </w:t>
            </w:r>
          </w:p>
          <w:p w14:paraId="58009DD4" w14:textId="77777777" w:rsidR="00B764FC" w:rsidRDefault="00B764FC" w:rsidP="00077040">
            <w:pPr>
              <w:pStyle w:val="ListParagraph"/>
              <w:numPr>
                <w:ilvl w:val="0"/>
                <w:numId w:val="27"/>
              </w:numPr>
              <w:spacing w:line="276" w:lineRule="auto"/>
              <w:ind w:left="252" w:hanging="252"/>
              <w:rPr>
                <w:i/>
                <w:iCs/>
                <w:sz w:val="20"/>
                <w:szCs w:val="20"/>
              </w:rPr>
            </w:pPr>
            <w:r>
              <w:rPr>
                <w:i/>
                <w:iCs/>
                <w:sz w:val="20"/>
                <w:szCs w:val="20"/>
              </w:rPr>
              <w:t xml:space="preserve">A lot of residents having trouble with noise at night </w:t>
            </w:r>
          </w:p>
          <w:p w14:paraId="2AB3B412" w14:textId="77777777" w:rsidR="00B764FC" w:rsidRDefault="00B764FC">
            <w:pPr>
              <w:spacing w:line="276" w:lineRule="auto"/>
              <w:ind w:left="252" w:hanging="252"/>
              <w:rPr>
                <w:i/>
                <w:iCs/>
                <w:sz w:val="20"/>
                <w:szCs w:val="20"/>
              </w:rPr>
            </w:pPr>
            <w:r>
              <w:rPr>
                <w:i/>
                <w:iCs/>
                <w:sz w:val="20"/>
                <w:szCs w:val="20"/>
              </w:rPr>
              <w:t xml:space="preserve">     (Social and Community Housing Tenants)                      </w:t>
            </w:r>
          </w:p>
          <w:p w14:paraId="4B0FD926" w14:textId="77777777" w:rsidR="00B764FC" w:rsidRDefault="00B764FC" w:rsidP="00077040">
            <w:pPr>
              <w:pStyle w:val="ListParagraph"/>
              <w:numPr>
                <w:ilvl w:val="0"/>
                <w:numId w:val="27"/>
              </w:numPr>
              <w:spacing w:line="276" w:lineRule="auto"/>
              <w:ind w:left="252" w:hanging="252"/>
              <w:rPr>
                <w:i/>
                <w:iCs/>
                <w:sz w:val="20"/>
                <w:szCs w:val="20"/>
              </w:rPr>
            </w:pPr>
            <w:r>
              <w:rPr>
                <w:i/>
                <w:iCs/>
                <w:sz w:val="20"/>
                <w:szCs w:val="20"/>
              </w:rPr>
              <w:t xml:space="preserve">The community perception about social housing is generated by failure to maintain stock </w:t>
            </w:r>
          </w:p>
          <w:p w14:paraId="3A0A7300" w14:textId="77777777" w:rsidR="00B764FC" w:rsidRDefault="00B764FC">
            <w:pPr>
              <w:spacing w:line="276" w:lineRule="auto"/>
              <w:ind w:left="252" w:hanging="252"/>
              <w:rPr>
                <w:i/>
                <w:iCs/>
                <w:sz w:val="20"/>
                <w:szCs w:val="20"/>
              </w:rPr>
            </w:pPr>
            <w:r>
              <w:rPr>
                <w:i/>
                <w:iCs/>
                <w:sz w:val="20"/>
                <w:szCs w:val="20"/>
              </w:rPr>
              <w:t xml:space="preserve">    (Industry Sector Consultation)</w:t>
            </w:r>
          </w:p>
          <w:p w14:paraId="3DEAABEE" w14:textId="77777777" w:rsidR="00B764FC" w:rsidRDefault="00B764FC" w:rsidP="00077040">
            <w:pPr>
              <w:pStyle w:val="ListParagraph"/>
              <w:numPr>
                <w:ilvl w:val="0"/>
                <w:numId w:val="27"/>
              </w:numPr>
              <w:spacing w:line="276" w:lineRule="auto"/>
              <w:ind w:left="312" w:hanging="312"/>
              <w:rPr>
                <w:color w:val="000000"/>
                <w:sz w:val="20"/>
                <w:szCs w:val="20"/>
              </w:rPr>
            </w:pPr>
            <w:r>
              <w:rPr>
                <w:color w:val="000000"/>
                <w:sz w:val="20"/>
                <w:szCs w:val="20"/>
              </w:rPr>
              <w:t>We don’t have the ability to insist on downsizing</w:t>
            </w:r>
          </w:p>
          <w:p w14:paraId="6ED296A2" w14:textId="77777777" w:rsidR="00B764FC" w:rsidRDefault="00B764FC">
            <w:pPr>
              <w:spacing w:line="276" w:lineRule="auto"/>
              <w:ind w:left="252" w:hanging="252"/>
              <w:rPr>
                <w:i/>
                <w:iCs/>
                <w:sz w:val="20"/>
                <w:szCs w:val="20"/>
              </w:rPr>
            </w:pPr>
            <w:r>
              <w:rPr>
                <w:color w:val="000000"/>
                <w:sz w:val="20"/>
                <w:szCs w:val="20"/>
              </w:rPr>
              <w:t xml:space="preserve">      (Housing Provider)</w:t>
            </w:r>
          </w:p>
          <w:p w14:paraId="1FE9C881" w14:textId="77777777" w:rsidR="00B764FC" w:rsidRDefault="00B764FC" w:rsidP="00077040">
            <w:pPr>
              <w:pStyle w:val="ListParagraph"/>
              <w:numPr>
                <w:ilvl w:val="0"/>
                <w:numId w:val="27"/>
              </w:numPr>
              <w:spacing w:line="276" w:lineRule="auto"/>
              <w:ind w:left="252" w:hanging="252"/>
              <w:rPr>
                <w:i/>
                <w:iCs/>
                <w:sz w:val="20"/>
                <w:szCs w:val="20"/>
              </w:rPr>
            </w:pPr>
            <w:r>
              <w:rPr>
                <w:i/>
                <w:iCs/>
                <w:sz w:val="20"/>
                <w:szCs w:val="20"/>
              </w:rPr>
              <w:t xml:space="preserve">The State Govt has squandered the opportunity and the Commonwealth’s assistance is a drop in the ocean compared to what is need                                                                                                            </w:t>
            </w:r>
          </w:p>
          <w:p w14:paraId="66BDB5E2" w14:textId="77777777" w:rsidR="00B764FC" w:rsidRDefault="00B764FC" w:rsidP="00077040">
            <w:pPr>
              <w:pStyle w:val="ListParagraph"/>
              <w:numPr>
                <w:ilvl w:val="0"/>
                <w:numId w:val="27"/>
              </w:numPr>
              <w:spacing w:line="276" w:lineRule="auto"/>
              <w:ind w:left="252" w:hanging="252"/>
              <w:rPr>
                <w:i/>
                <w:iCs/>
                <w:sz w:val="20"/>
                <w:szCs w:val="20"/>
              </w:rPr>
            </w:pPr>
            <w:r>
              <w:rPr>
                <w:i/>
                <w:iCs/>
                <w:sz w:val="20"/>
                <w:szCs w:val="20"/>
              </w:rPr>
              <w:t xml:space="preserve">There is a declining social housing stock base in Victoria </w:t>
            </w:r>
          </w:p>
          <w:p w14:paraId="16F781B6" w14:textId="77777777" w:rsidR="00B764FC" w:rsidRDefault="00B764FC">
            <w:pPr>
              <w:spacing w:after="240" w:line="276" w:lineRule="auto"/>
              <w:rPr>
                <w:i/>
                <w:iCs/>
                <w:sz w:val="20"/>
                <w:szCs w:val="20"/>
              </w:rPr>
            </w:pPr>
            <w:r>
              <w:rPr>
                <w:i/>
                <w:iCs/>
                <w:sz w:val="20"/>
                <w:szCs w:val="20"/>
              </w:rPr>
              <w:t xml:space="preserve">    (Community Forum Participants)</w:t>
            </w:r>
          </w:p>
        </w:tc>
      </w:tr>
      <w:tr w:rsidR="00B764FC" w14:paraId="1C028809" w14:textId="77777777" w:rsidTr="00E46895">
        <w:tc>
          <w:tcPr>
            <w:tcW w:w="9138" w:type="dxa"/>
            <w:gridSpan w:val="2"/>
            <w:tcBorders>
              <w:left w:val="nil"/>
              <w:right w:val="nil"/>
            </w:tcBorders>
            <w:shd w:val="clear" w:color="auto" w:fill="CCCCCC" w:themeFill="text2" w:themeFillTint="33"/>
            <w:vAlign w:val="center"/>
          </w:tcPr>
          <w:p w14:paraId="6969D44D" w14:textId="78EA9CAF" w:rsidR="00B764FC" w:rsidRDefault="00CF4E99" w:rsidP="00CF4E99">
            <w:pPr>
              <w:spacing w:line="276" w:lineRule="auto"/>
              <w:rPr>
                <w:b/>
                <w:bCs/>
                <w:i/>
                <w:iCs/>
                <w:sz w:val="20"/>
                <w:szCs w:val="20"/>
              </w:rPr>
            </w:pPr>
            <w:r>
              <w:rPr>
                <w:b/>
                <w:bCs/>
                <w:i/>
                <w:iCs/>
                <w:sz w:val="20"/>
                <w:szCs w:val="20"/>
              </w:rPr>
              <w:t xml:space="preserve">       </w:t>
            </w:r>
            <w:r w:rsidR="00B764FC">
              <w:rPr>
                <w:b/>
                <w:bCs/>
                <w:i/>
                <w:iCs/>
                <w:sz w:val="20"/>
                <w:szCs w:val="20"/>
              </w:rPr>
              <w:t>Who Needs Social Housing in Geelong?</w:t>
            </w:r>
          </w:p>
        </w:tc>
      </w:tr>
      <w:tr w:rsidR="00B764FC" w14:paraId="09CDABCC" w14:textId="77777777">
        <w:tc>
          <w:tcPr>
            <w:tcW w:w="4536" w:type="dxa"/>
            <w:tcBorders>
              <w:left w:val="nil"/>
              <w:right w:val="nil"/>
            </w:tcBorders>
          </w:tcPr>
          <w:p w14:paraId="282970A0" w14:textId="77777777" w:rsidR="00B764FC" w:rsidRDefault="00B764FC" w:rsidP="00077040">
            <w:pPr>
              <w:pStyle w:val="ListParagraph"/>
              <w:numPr>
                <w:ilvl w:val="0"/>
                <w:numId w:val="29"/>
              </w:numPr>
              <w:spacing w:before="240" w:line="276" w:lineRule="auto"/>
              <w:ind w:left="321" w:hanging="321"/>
              <w:jc w:val="both"/>
              <w:rPr>
                <w:i/>
                <w:iCs/>
                <w:sz w:val="20"/>
                <w:szCs w:val="20"/>
              </w:rPr>
            </w:pPr>
            <w:r>
              <w:rPr>
                <w:i/>
                <w:iCs/>
                <w:sz w:val="20"/>
                <w:szCs w:val="20"/>
              </w:rPr>
              <w:t xml:space="preserve">This region has the largest level of Aboriginal homelessness in Australia                                            </w:t>
            </w:r>
          </w:p>
          <w:p w14:paraId="58D27C2C"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People coming out of prison                                                                                                                           </w:t>
            </w:r>
          </w:p>
          <w:p w14:paraId="1DF279DB"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Elder population, including Aboriginal people                                                                                        </w:t>
            </w:r>
          </w:p>
          <w:p w14:paraId="7A39802D"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Aboriginal women - high level of domestic violence within Aboriginal communities                             </w:t>
            </w:r>
          </w:p>
          <w:p w14:paraId="0AF73257"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Housing for men – also part of family violence                                                                                                      </w:t>
            </w:r>
          </w:p>
          <w:p w14:paraId="4852EDF9"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People leaving prisons up the road how do we help them return back to society</w:t>
            </w:r>
            <w:r>
              <w:rPr>
                <w:i/>
                <w:iCs/>
                <w:sz w:val="20"/>
                <w:szCs w:val="20"/>
              </w:rPr>
              <w:br/>
              <w:t xml:space="preserve">Young people with justice related issues                                                                                                      </w:t>
            </w:r>
          </w:p>
          <w:p w14:paraId="30805667"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Women from refugee background, women and children who have experienced immense trauma</w:t>
            </w:r>
          </w:p>
          <w:p w14:paraId="467F8B4E" w14:textId="77777777" w:rsidR="00B764FC" w:rsidRDefault="00B764FC">
            <w:pPr>
              <w:pStyle w:val="ListParagraph"/>
              <w:spacing w:line="276" w:lineRule="auto"/>
              <w:ind w:left="321" w:hanging="321"/>
              <w:jc w:val="both"/>
              <w:rPr>
                <w:sz w:val="20"/>
                <w:szCs w:val="20"/>
              </w:rPr>
            </w:pPr>
            <w:r>
              <w:rPr>
                <w:sz w:val="20"/>
                <w:szCs w:val="20"/>
              </w:rPr>
              <w:t xml:space="preserve">      (Community Forum Participants)</w:t>
            </w:r>
          </w:p>
          <w:p w14:paraId="260FF9AB" w14:textId="77777777" w:rsidR="00B764FC" w:rsidRDefault="00B764FC">
            <w:pPr>
              <w:pStyle w:val="ListParagraph"/>
              <w:spacing w:line="276" w:lineRule="auto"/>
              <w:ind w:left="321" w:hanging="321"/>
              <w:jc w:val="both"/>
              <w:rPr>
                <w:i/>
                <w:iCs/>
                <w:sz w:val="20"/>
                <w:szCs w:val="20"/>
              </w:rPr>
            </w:pPr>
          </w:p>
          <w:p w14:paraId="4DE9CFCA"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Refugee families prior financial support no longer exists           </w:t>
            </w:r>
          </w:p>
          <w:p w14:paraId="1DD55AD7"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Women and children escaping family violence                                                                                                </w:t>
            </w:r>
          </w:p>
          <w:p w14:paraId="1D0AB782"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Women at risk, coming to Australia on a 204 visas came with no male family member                                                                                  </w:t>
            </w:r>
          </w:p>
          <w:p w14:paraId="3F2EC20E"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lastRenderedPageBreak/>
              <w:t xml:space="preserve">Older lone people who might be currently in social housing who really need to downsize but there is nowhere for them to go                                                                                                                     </w:t>
            </w:r>
          </w:p>
          <w:p w14:paraId="7FD76607"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Newly arrived families don’t like being split up they have already gone through so much                      </w:t>
            </w:r>
          </w:p>
          <w:p w14:paraId="05721DAC"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Families underpinned by mental health issues                                                                                      </w:t>
            </w:r>
          </w:p>
          <w:p w14:paraId="05E8FE2B"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People coming out of prison and not eligible for supported accommodation – often have no rental history                                                                                                                                             </w:t>
            </w:r>
          </w:p>
          <w:p w14:paraId="566B7151"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Young people – rentals not affordable anywhere young people get missed in these discussions also in census night couch surfing                 </w:t>
            </w:r>
          </w:p>
          <w:p w14:paraId="72E70504" w14:textId="77777777" w:rsidR="00B764FC" w:rsidRDefault="00B764FC">
            <w:pPr>
              <w:spacing w:line="276" w:lineRule="auto"/>
              <w:ind w:left="321" w:hanging="321"/>
              <w:jc w:val="both"/>
              <w:rPr>
                <w:sz w:val="20"/>
                <w:szCs w:val="20"/>
              </w:rPr>
            </w:pPr>
            <w:r>
              <w:rPr>
                <w:sz w:val="20"/>
                <w:szCs w:val="20"/>
              </w:rPr>
              <w:t xml:space="preserve">     (Community Service Agencies)</w:t>
            </w:r>
          </w:p>
          <w:p w14:paraId="23B86D6E" w14:textId="77777777" w:rsidR="00B764FC" w:rsidRDefault="00B764FC">
            <w:pPr>
              <w:spacing w:line="276" w:lineRule="auto"/>
              <w:ind w:left="321" w:hanging="321"/>
              <w:jc w:val="both"/>
              <w:rPr>
                <w:sz w:val="20"/>
                <w:szCs w:val="20"/>
              </w:rPr>
            </w:pPr>
          </w:p>
          <w:p w14:paraId="754ADBEA" w14:textId="77777777" w:rsidR="00B764FC" w:rsidRDefault="00B764FC">
            <w:pPr>
              <w:spacing w:line="276" w:lineRule="auto"/>
              <w:ind w:left="321" w:hanging="321"/>
              <w:jc w:val="both"/>
              <w:rPr>
                <w:sz w:val="20"/>
                <w:szCs w:val="20"/>
              </w:rPr>
            </w:pPr>
          </w:p>
        </w:tc>
        <w:tc>
          <w:tcPr>
            <w:tcW w:w="4602" w:type="dxa"/>
            <w:tcBorders>
              <w:left w:val="nil"/>
              <w:right w:val="nil"/>
            </w:tcBorders>
          </w:tcPr>
          <w:p w14:paraId="53E3A0BC" w14:textId="77777777" w:rsidR="00B764FC" w:rsidRDefault="00B764FC" w:rsidP="00077040">
            <w:pPr>
              <w:pStyle w:val="ListParagraph"/>
              <w:numPr>
                <w:ilvl w:val="0"/>
                <w:numId w:val="27"/>
              </w:numPr>
              <w:spacing w:before="240" w:line="276" w:lineRule="auto"/>
              <w:ind w:left="393" w:hanging="283"/>
              <w:jc w:val="both"/>
              <w:rPr>
                <w:i/>
                <w:iCs/>
                <w:sz w:val="20"/>
                <w:szCs w:val="20"/>
              </w:rPr>
            </w:pPr>
            <w:r>
              <w:rPr>
                <w:i/>
                <w:iCs/>
                <w:sz w:val="20"/>
                <w:szCs w:val="20"/>
              </w:rPr>
              <w:lastRenderedPageBreak/>
              <w:t xml:space="preserve">Families need support setting up new houses: furniture, linen etc.  lots of people do this to help refugee families in Geelong                                                                                                                                   </w:t>
            </w:r>
          </w:p>
          <w:p w14:paraId="5E9A2888"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Newly arrived families need large houses</w:t>
            </w:r>
          </w:p>
          <w:p w14:paraId="5B11DA3F"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High unemployment among Aboriginal households, there is a need for housing that helps them engage with employment agencies, traineeships, employment opportunities, mentoring with someone of culture who they trust</w:t>
            </w:r>
          </w:p>
          <w:p w14:paraId="56EE91DB"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People who need extra space, eg. kids under cover</w:t>
            </w:r>
          </w:p>
          <w:p w14:paraId="195E58C6"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Young people languishing in mental health facilities and inappropriate places</w:t>
            </w:r>
          </w:p>
          <w:p w14:paraId="53807214"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 xml:space="preserve">Young people with a disability – serious lack of safe independent accommodation </w:t>
            </w:r>
          </w:p>
          <w:p w14:paraId="01A5546B"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Those who find unemployment later in life, on limited resources</w:t>
            </w:r>
          </w:p>
          <w:p w14:paraId="3EA4369B" w14:textId="77777777" w:rsidR="00B764FC" w:rsidRDefault="00B764FC">
            <w:pPr>
              <w:pStyle w:val="ListParagraph"/>
              <w:spacing w:line="276" w:lineRule="auto"/>
              <w:ind w:left="393" w:hanging="283"/>
              <w:jc w:val="both"/>
              <w:rPr>
                <w:sz w:val="20"/>
                <w:szCs w:val="20"/>
              </w:rPr>
            </w:pPr>
            <w:r>
              <w:rPr>
                <w:sz w:val="20"/>
                <w:szCs w:val="20"/>
              </w:rPr>
              <w:t xml:space="preserve">      (Housing Providers)</w:t>
            </w:r>
          </w:p>
          <w:p w14:paraId="3CCFB8D1" w14:textId="77777777" w:rsidR="00B764FC" w:rsidRDefault="00B764FC">
            <w:pPr>
              <w:pStyle w:val="ListParagraph"/>
              <w:spacing w:line="276" w:lineRule="auto"/>
              <w:ind w:left="393" w:hanging="283"/>
              <w:jc w:val="both"/>
              <w:rPr>
                <w:sz w:val="20"/>
                <w:szCs w:val="20"/>
              </w:rPr>
            </w:pPr>
          </w:p>
          <w:p w14:paraId="07F20D6F" w14:textId="77777777" w:rsidR="00B764FC" w:rsidRDefault="00B764FC" w:rsidP="00077040">
            <w:pPr>
              <w:pStyle w:val="ListParagraph"/>
              <w:numPr>
                <w:ilvl w:val="0"/>
                <w:numId w:val="29"/>
              </w:numPr>
              <w:spacing w:line="276" w:lineRule="auto"/>
              <w:ind w:left="393" w:hanging="283"/>
              <w:jc w:val="both"/>
              <w:rPr>
                <w:i/>
                <w:iCs/>
                <w:sz w:val="20"/>
                <w:szCs w:val="20"/>
              </w:rPr>
            </w:pPr>
            <w:r>
              <w:rPr>
                <w:i/>
                <w:iCs/>
                <w:sz w:val="20"/>
                <w:szCs w:val="20"/>
              </w:rPr>
              <w:t xml:space="preserve">18 – 21 year old’s living in foster care young people who lose their income support                                                                                                                                                      </w:t>
            </w:r>
            <w:r>
              <w:rPr>
                <w:i/>
                <w:iCs/>
                <w:sz w:val="20"/>
                <w:szCs w:val="20"/>
              </w:rPr>
              <w:lastRenderedPageBreak/>
              <w:t xml:space="preserve">Aboriginal homelessness rate in Victoria is the highest in Australia and is playing itself out in crime and drug use                                                                                                                                   </w:t>
            </w:r>
          </w:p>
          <w:p w14:paraId="6BFA1731" w14:textId="77777777" w:rsidR="00B764FC" w:rsidRDefault="00B764FC" w:rsidP="00077040">
            <w:pPr>
              <w:pStyle w:val="ListParagraph"/>
              <w:numPr>
                <w:ilvl w:val="0"/>
                <w:numId w:val="29"/>
              </w:numPr>
              <w:spacing w:line="276" w:lineRule="auto"/>
              <w:ind w:left="393" w:hanging="283"/>
              <w:jc w:val="both"/>
              <w:rPr>
                <w:i/>
                <w:iCs/>
                <w:sz w:val="20"/>
                <w:szCs w:val="20"/>
              </w:rPr>
            </w:pPr>
            <w:r>
              <w:rPr>
                <w:i/>
                <w:iCs/>
                <w:sz w:val="20"/>
                <w:szCs w:val="20"/>
              </w:rPr>
              <w:t>Families and lone single people and an aging population who are losing their partners and don’t need all the space they are currently living in; People coming out of prison and not eligible for supported accommodation</w:t>
            </w:r>
          </w:p>
          <w:p w14:paraId="745891A8" w14:textId="77777777" w:rsidR="00B764FC" w:rsidRDefault="00B764FC">
            <w:pPr>
              <w:pStyle w:val="ListParagraph"/>
              <w:spacing w:line="276" w:lineRule="auto"/>
              <w:ind w:left="393" w:hanging="283"/>
              <w:jc w:val="both"/>
              <w:rPr>
                <w:sz w:val="20"/>
                <w:szCs w:val="20"/>
              </w:rPr>
            </w:pPr>
            <w:r>
              <w:rPr>
                <w:sz w:val="20"/>
                <w:szCs w:val="20"/>
              </w:rPr>
              <w:t xml:space="preserve">      (Housing Providers)</w:t>
            </w:r>
          </w:p>
          <w:p w14:paraId="04D8D8BD" w14:textId="77777777" w:rsidR="00B764FC" w:rsidRDefault="00B764FC">
            <w:pPr>
              <w:pStyle w:val="ListParagraph"/>
              <w:spacing w:line="276" w:lineRule="auto"/>
              <w:ind w:left="393" w:hanging="283"/>
              <w:jc w:val="both"/>
              <w:rPr>
                <w:sz w:val="20"/>
                <w:szCs w:val="20"/>
              </w:rPr>
            </w:pPr>
          </w:p>
          <w:p w14:paraId="0DFF8422"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Housing for single people</w:t>
            </w:r>
          </w:p>
          <w:p w14:paraId="1E7CCC0B" w14:textId="77777777" w:rsidR="00B764FC" w:rsidRDefault="00B764FC" w:rsidP="00077040">
            <w:pPr>
              <w:pStyle w:val="ListParagraph"/>
              <w:numPr>
                <w:ilvl w:val="0"/>
                <w:numId w:val="27"/>
              </w:numPr>
              <w:spacing w:line="276" w:lineRule="auto"/>
              <w:ind w:left="393" w:hanging="283"/>
              <w:jc w:val="both"/>
              <w:rPr>
                <w:i/>
                <w:iCs/>
                <w:sz w:val="20"/>
                <w:szCs w:val="20"/>
              </w:rPr>
            </w:pPr>
            <w:r>
              <w:rPr>
                <w:i/>
                <w:iCs/>
                <w:sz w:val="20"/>
                <w:szCs w:val="20"/>
              </w:rPr>
              <w:t>Single parents with 3 – 4kids</w:t>
            </w:r>
          </w:p>
          <w:p w14:paraId="34AC849C" w14:textId="77777777" w:rsidR="00B764FC" w:rsidRDefault="00B764FC">
            <w:pPr>
              <w:pStyle w:val="ListParagraph"/>
              <w:spacing w:line="276" w:lineRule="auto"/>
              <w:ind w:left="393" w:hanging="283"/>
              <w:jc w:val="both"/>
              <w:rPr>
                <w:sz w:val="20"/>
                <w:szCs w:val="20"/>
              </w:rPr>
            </w:pPr>
            <w:r>
              <w:rPr>
                <w:sz w:val="20"/>
                <w:szCs w:val="20"/>
              </w:rPr>
              <w:t xml:space="preserve">      (Social and Community Housing Tenants)</w:t>
            </w:r>
          </w:p>
          <w:p w14:paraId="59681A81" w14:textId="77777777" w:rsidR="00B764FC" w:rsidRDefault="00B764FC">
            <w:pPr>
              <w:spacing w:line="276" w:lineRule="auto"/>
              <w:ind w:left="393" w:hanging="283"/>
              <w:jc w:val="both"/>
              <w:rPr>
                <w:sz w:val="20"/>
                <w:szCs w:val="20"/>
              </w:rPr>
            </w:pPr>
          </w:p>
        </w:tc>
      </w:tr>
      <w:tr w:rsidR="00B764FC" w14:paraId="02EDD606" w14:textId="77777777" w:rsidTr="00CF4E99">
        <w:tc>
          <w:tcPr>
            <w:tcW w:w="9138" w:type="dxa"/>
            <w:gridSpan w:val="2"/>
            <w:tcBorders>
              <w:left w:val="nil"/>
              <w:right w:val="nil"/>
            </w:tcBorders>
            <w:shd w:val="clear" w:color="auto" w:fill="CCCCCC" w:themeFill="text2" w:themeFillTint="33"/>
          </w:tcPr>
          <w:p w14:paraId="324457EC" w14:textId="11889ECE" w:rsidR="00B764FC" w:rsidRDefault="00B764FC" w:rsidP="00CF4E99">
            <w:pPr>
              <w:pStyle w:val="ListParagraph"/>
              <w:spacing w:line="276" w:lineRule="auto"/>
              <w:jc w:val="both"/>
              <w:rPr>
                <w:b/>
                <w:bCs/>
                <w:i/>
                <w:iCs/>
                <w:sz w:val="20"/>
                <w:szCs w:val="20"/>
              </w:rPr>
            </w:pPr>
            <w:r>
              <w:rPr>
                <w:b/>
                <w:bCs/>
                <w:i/>
                <w:iCs/>
                <w:sz w:val="20"/>
                <w:szCs w:val="20"/>
              </w:rPr>
              <w:lastRenderedPageBreak/>
              <w:t xml:space="preserve">How Much Social Housing Do We Need </w:t>
            </w:r>
            <w:r w:rsidR="00692CCA">
              <w:rPr>
                <w:b/>
                <w:bCs/>
                <w:i/>
                <w:iCs/>
                <w:sz w:val="20"/>
                <w:szCs w:val="20"/>
              </w:rPr>
              <w:t>i</w:t>
            </w:r>
            <w:r>
              <w:rPr>
                <w:b/>
                <w:bCs/>
                <w:i/>
                <w:iCs/>
                <w:sz w:val="20"/>
                <w:szCs w:val="20"/>
              </w:rPr>
              <w:t>n Geelong and what Type of Housing Is Needed?</w:t>
            </w:r>
          </w:p>
        </w:tc>
      </w:tr>
      <w:tr w:rsidR="00B764FC" w14:paraId="51C2D06F" w14:textId="77777777">
        <w:tc>
          <w:tcPr>
            <w:tcW w:w="4536" w:type="dxa"/>
            <w:tcBorders>
              <w:left w:val="nil"/>
              <w:right w:val="nil"/>
            </w:tcBorders>
          </w:tcPr>
          <w:p w14:paraId="79385D1F" w14:textId="77777777" w:rsidR="00B764FC" w:rsidRDefault="00B764FC">
            <w:pPr>
              <w:pStyle w:val="ListParagraph"/>
              <w:spacing w:line="276" w:lineRule="auto"/>
              <w:ind w:left="321" w:hanging="321"/>
              <w:jc w:val="both"/>
              <w:rPr>
                <w:i/>
                <w:iCs/>
                <w:sz w:val="20"/>
                <w:szCs w:val="20"/>
              </w:rPr>
            </w:pPr>
          </w:p>
          <w:p w14:paraId="02597045"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Aboriginal housing and homelessness – our estimates across Victoria are for 5000 – 6000 extra social housing units for 2041                                                                                                                      </w:t>
            </w:r>
          </w:p>
          <w:p w14:paraId="3C34B0CD" w14:textId="77777777" w:rsidR="00B764FC" w:rsidRDefault="00B764FC">
            <w:pPr>
              <w:pStyle w:val="ListParagraph"/>
              <w:spacing w:line="276" w:lineRule="auto"/>
              <w:ind w:left="321" w:hanging="321"/>
              <w:jc w:val="both"/>
              <w:rPr>
                <w:sz w:val="20"/>
                <w:szCs w:val="20"/>
              </w:rPr>
            </w:pPr>
            <w:r>
              <w:rPr>
                <w:sz w:val="20"/>
                <w:szCs w:val="20"/>
              </w:rPr>
              <w:t xml:space="preserve">       (Housing Providers)</w:t>
            </w:r>
          </w:p>
          <w:p w14:paraId="4C6F88FB" w14:textId="77777777" w:rsidR="00B764FC" w:rsidRDefault="00B764FC">
            <w:pPr>
              <w:pStyle w:val="ListParagraph"/>
              <w:spacing w:line="276" w:lineRule="auto"/>
              <w:ind w:left="321" w:hanging="321"/>
              <w:jc w:val="both"/>
              <w:rPr>
                <w:i/>
                <w:iCs/>
                <w:sz w:val="20"/>
                <w:szCs w:val="20"/>
              </w:rPr>
            </w:pPr>
          </w:p>
          <w:p w14:paraId="6DE6F43A" w14:textId="77777777" w:rsidR="00B764FC" w:rsidRDefault="00B764FC" w:rsidP="00077040">
            <w:pPr>
              <w:pStyle w:val="ListParagraph"/>
              <w:numPr>
                <w:ilvl w:val="0"/>
                <w:numId w:val="29"/>
              </w:numPr>
              <w:spacing w:line="276" w:lineRule="auto"/>
              <w:ind w:left="321" w:hanging="321"/>
              <w:jc w:val="both"/>
              <w:rPr>
                <w:sz w:val="20"/>
                <w:szCs w:val="20"/>
              </w:rPr>
            </w:pPr>
            <w:r>
              <w:rPr>
                <w:i/>
                <w:iCs/>
                <w:sz w:val="20"/>
                <w:szCs w:val="20"/>
              </w:rPr>
              <w:t xml:space="preserve">We are going to need 636 homes for young Aboriginal families (3 bedroom homes) in this region by 2041 that is approximately $7b investment   </w:t>
            </w:r>
            <w:r>
              <w:rPr>
                <w:sz w:val="20"/>
                <w:szCs w:val="20"/>
              </w:rPr>
              <w:t>(Community Forum participants)</w:t>
            </w:r>
          </w:p>
          <w:p w14:paraId="50343640" w14:textId="77777777" w:rsidR="00B764FC" w:rsidRDefault="00B764FC">
            <w:pPr>
              <w:pStyle w:val="ListParagraph"/>
              <w:spacing w:line="276" w:lineRule="auto"/>
              <w:ind w:left="321" w:hanging="321"/>
              <w:jc w:val="both"/>
              <w:rPr>
                <w:sz w:val="20"/>
                <w:szCs w:val="20"/>
              </w:rPr>
            </w:pPr>
          </w:p>
          <w:p w14:paraId="7E1225B7" w14:textId="77777777" w:rsidR="00B764FC" w:rsidRDefault="00B764FC" w:rsidP="00077040">
            <w:pPr>
              <w:pStyle w:val="ListParagraph"/>
              <w:numPr>
                <w:ilvl w:val="0"/>
                <w:numId w:val="29"/>
              </w:numPr>
              <w:spacing w:line="276" w:lineRule="auto"/>
              <w:ind w:left="321" w:hanging="321"/>
              <w:jc w:val="both"/>
              <w:rPr>
                <w:i/>
                <w:iCs/>
                <w:sz w:val="20"/>
                <w:szCs w:val="20"/>
              </w:rPr>
            </w:pPr>
            <w:r>
              <w:rPr>
                <w:i/>
                <w:iCs/>
                <w:sz w:val="20"/>
                <w:szCs w:val="20"/>
              </w:rPr>
              <w:t xml:space="preserve">Currently 1,600 priority applications on Office of Housing (OoH)  waiting list in Barwon Region                                                                                        </w:t>
            </w:r>
          </w:p>
          <w:p w14:paraId="193DCFF9" w14:textId="77777777" w:rsidR="00B764FC" w:rsidRDefault="00B764FC">
            <w:pPr>
              <w:spacing w:after="240" w:line="276" w:lineRule="auto"/>
              <w:ind w:left="321" w:hanging="321"/>
              <w:jc w:val="both"/>
              <w:rPr>
                <w:sz w:val="20"/>
                <w:szCs w:val="20"/>
              </w:rPr>
            </w:pPr>
            <w:r>
              <w:rPr>
                <w:sz w:val="20"/>
                <w:szCs w:val="20"/>
              </w:rPr>
              <w:t xml:space="preserve">       (Community Service Agencies)</w:t>
            </w:r>
          </w:p>
          <w:p w14:paraId="73604BE9" w14:textId="77777777" w:rsidR="00B764FC" w:rsidRDefault="00B764FC">
            <w:pPr>
              <w:spacing w:after="240" w:line="276" w:lineRule="auto"/>
              <w:ind w:left="321" w:hanging="321"/>
              <w:jc w:val="both"/>
              <w:rPr>
                <w:sz w:val="20"/>
                <w:szCs w:val="20"/>
              </w:rPr>
            </w:pPr>
          </w:p>
        </w:tc>
        <w:tc>
          <w:tcPr>
            <w:tcW w:w="4602" w:type="dxa"/>
            <w:tcBorders>
              <w:left w:val="nil"/>
              <w:right w:val="nil"/>
            </w:tcBorders>
          </w:tcPr>
          <w:p w14:paraId="504D1C49" w14:textId="77777777" w:rsidR="00B764FC" w:rsidRDefault="00B764FC" w:rsidP="00077040">
            <w:pPr>
              <w:pStyle w:val="ListParagraph"/>
              <w:numPr>
                <w:ilvl w:val="0"/>
                <w:numId w:val="27"/>
              </w:numPr>
              <w:spacing w:before="240" w:line="276" w:lineRule="auto"/>
              <w:ind w:left="535" w:hanging="283"/>
              <w:jc w:val="both"/>
              <w:rPr>
                <w:i/>
                <w:iCs/>
                <w:sz w:val="20"/>
                <w:szCs w:val="20"/>
              </w:rPr>
            </w:pPr>
            <w:r>
              <w:rPr>
                <w:i/>
                <w:iCs/>
                <w:sz w:val="20"/>
                <w:szCs w:val="20"/>
              </w:rPr>
              <w:t>Accommodation for people with a mental illnesses   Young people in aged care homes, need to get them out of aged care and free up aged care for older people</w:t>
            </w:r>
          </w:p>
          <w:p w14:paraId="3942F310" w14:textId="77777777" w:rsidR="00B764FC" w:rsidRDefault="00B764FC">
            <w:pPr>
              <w:pStyle w:val="ListParagraph"/>
              <w:spacing w:line="276" w:lineRule="auto"/>
              <w:ind w:left="535" w:hanging="283"/>
              <w:jc w:val="both"/>
              <w:rPr>
                <w:sz w:val="20"/>
                <w:szCs w:val="20"/>
              </w:rPr>
            </w:pPr>
            <w:r>
              <w:rPr>
                <w:sz w:val="20"/>
                <w:szCs w:val="20"/>
              </w:rPr>
              <w:t xml:space="preserve">     (City of Greater Geelong Access and Inclusion Advisory Committee)</w:t>
            </w:r>
          </w:p>
          <w:p w14:paraId="58737EC8" w14:textId="77777777" w:rsidR="00B764FC" w:rsidRDefault="00B764FC">
            <w:pPr>
              <w:pStyle w:val="ListParagraph"/>
              <w:spacing w:line="276" w:lineRule="auto"/>
              <w:ind w:left="535" w:hanging="283"/>
              <w:jc w:val="both"/>
              <w:rPr>
                <w:sz w:val="20"/>
                <w:szCs w:val="20"/>
              </w:rPr>
            </w:pPr>
          </w:p>
          <w:p w14:paraId="61D3B3EB" w14:textId="77777777" w:rsidR="00B764FC" w:rsidRDefault="00B764FC" w:rsidP="00077040">
            <w:pPr>
              <w:pStyle w:val="ListParagraph"/>
              <w:numPr>
                <w:ilvl w:val="0"/>
                <w:numId w:val="29"/>
              </w:numPr>
              <w:spacing w:line="276" w:lineRule="auto"/>
              <w:ind w:left="535" w:hanging="283"/>
              <w:jc w:val="both"/>
              <w:rPr>
                <w:i/>
                <w:iCs/>
                <w:sz w:val="20"/>
                <w:szCs w:val="20"/>
              </w:rPr>
            </w:pPr>
            <w:r>
              <w:rPr>
                <w:i/>
                <w:iCs/>
                <w:sz w:val="20"/>
                <w:szCs w:val="20"/>
              </w:rPr>
              <w:t>Housing for people with disabilities leaving their parents’ home and wanting to live independently in Geelong</w:t>
            </w:r>
          </w:p>
          <w:p w14:paraId="11AA227A" w14:textId="77777777" w:rsidR="00B764FC" w:rsidRDefault="00B764FC">
            <w:pPr>
              <w:pStyle w:val="ListParagraph"/>
              <w:spacing w:line="276" w:lineRule="auto"/>
              <w:ind w:left="535" w:hanging="283"/>
              <w:jc w:val="both"/>
              <w:rPr>
                <w:sz w:val="20"/>
                <w:szCs w:val="20"/>
              </w:rPr>
            </w:pPr>
            <w:r>
              <w:rPr>
                <w:sz w:val="20"/>
                <w:szCs w:val="20"/>
              </w:rPr>
              <w:t xml:space="preserve">   (Housing Providers)</w:t>
            </w:r>
          </w:p>
          <w:p w14:paraId="46F96F92" w14:textId="77777777" w:rsidR="00B764FC" w:rsidRDefault="00B764FC">
            <w:pPr>
              <w:pStyle w:val="ListParagraph"/>
              <w:spacing w:line="276" w:lineRule="auto"/>
              <w:ind w:left="1418" w:hanging="284"/>
              <w:jc w:val="both"/>
              <w:rPr>
                <w:sz w:val="20"/>
                <w:szCs w:val="20"/>
              </w:rPr>
            </w:pPr>
          </w:p>
          <w:p w14:paraId="6A3A184A" w14:textId="77777777" w:rsidR="00B764FC" w:rsidRDefault="00B764FC" w:rsidP="00077040">
            <w:pPr>
              <w:pStyle w:val="ListParagraph"/>
              <w:numPr>
                <w:ilvl w:val="0"/>
                <w:numId w:val="27"/>
              </w:numPr>
              <w:spacing w:line="276" w:lineRule="auto"/>
              <w:rPr>
                <w:sz w:val="20"/>
                <w:szCs w:val="20"/>
              </w:rPr>
            </w:pPr>
          </w:p>
        </w:tc>
      </w:tr>
      <w:tr w:rsidR="00B764FC" w14:paraId="0B09D52F" w14:textId="77777777" w:rsidTr="00CF4E99">
        <w:tc>
          <w:tcPr>
            <w:tcW w:w="9138" w:type="dxa"/>
            <w:gridSpan w:val="2"/>
            <w:tcBorders>
              <w:left w:val="nil"/>
              <w:right w:val="nil"/>
            </w:tcBorders>
            <w:shd w:val="clear" w:color="auto" w:fill="CCCCCC" w:themeFill="text2" w:themeFillTint="33"/>
          </w:tcPr>
          <w:p w14:paraId="39C30E56" w14:textId="77777777" w:rsidR="00B764FC" w:rsidRDefault="00B764FC">
            <w:pPr>
              <w:spacing w:line="276" w:lineRule="auto"/>
              <w:jc w:val="center"/>
              <w:rPr>
                <w:b/>
                <w:bCs/>
                <w:i/>
                <w:iCs/>
                <w:sz w:val="20"/>
                <w:szCs w:val="20"/>
              </w:rPr>
            </w:pPr>
            <w:r>
              <w:rPr>
                <w:b/>
                <w:bCs/>
                <w:i/>
                <w:iCs/>
                <w:sz w:val="20"/>
                <w:szCs w:val="20"/>
              </w:rPr>
              <w:t>Options Identified by the Community to Increase the Supply of Social Housing Stock in Geelong</w:t>
            </w:r>
          </w:p>
        </w:tc>
      </w:tr>
      <w:tr w:rsidR="00B764FC" w14:paraId="581D899F" w14:textId="77777777">
        <w:tc>
          <w:tcPr>
            <w:tcW w:w="9138" w:type="dxa"/>
            <w:gridSpan w:val="2"/>
            <w:tcBorders>
              <w:left w:val="nil"/>
              <w:right w:val="nil"/>
            </w:tcBorders>
          </w:tcPr>
          <w:p w14:paraId="13441AAF" w14:textId="77777777" w:rsidR="00B764FC" w:rsidRDefault="00B764FC" w:rsidP="00077040">
            <w:pPr>
              <w:pStyle w:val="ListParagraph"/>
              <w:numPr>
                <w:ilvl w:val="0"/>
                <w:numId w:val="27"/>
              </w:numPr>
              <w:spacing w:line="276" w:lineRule="auto"/>
              <w:ind w:left="1029" w:hanging="425"/>
              <w:rPr>
                <w:color w:val="000000"/>
                <w:sz w:val="20"/>
                <w:szCs w:val="20"/>
              </w:rPr>
            </w:pPr>
            <w:r>
              <w:rPr>
                <w:color w:val="000000"/>
                <w:sz w:val="20"/>
                <w:szCs w:val="20"/>
              </w:rPr>
              <w:t>Legislative Change</w:t>
            </w:r>
          </w:p>
          <w:p w14:paraId="36C05E4D" w14:textId="77777777" w:rsidR="00B764FC" w:rsidRDefault="00B764FC" w:rsidP="00077040">
            <w:pPr>
              <w:pStyle w:val="ListParagraph"/>
              <w:numPr>
                <w:ilvl w:val="0"/>
                <w:numId w:val="27"/>
              </w:numPr>
              <w:spacing w:line="276" w:lineRule="auto"/>
              <w:ind w:left="1029" w:hanging="425"/>
              <w:rPr>
                <w:color w:val="000000"/>
                <w:sz w:val="20"/>
                <w:szCs w:val="20"/>
              </w:rPr>
            </w:pPr>
            <w:r>
              <w:rPr>
                <w:color w:val="000000"/>
                <w:sz w:val="20"/>
                <w:szCs w:val="20"/>
              </w:rPr>
              <w:t xml:space="preserve">Dispersed Social Housing </w:t>
            </w:r>
          </w:p>
          <w:p w14:paraId="0CEE88B1" w14:textId="77777777" w:rsidR="00B764FC" w:rsidRDefault="00B764FC" w:rsidP="00077040">
            <w:pPr>
              <w:pStyle w:val="ListParagraph"/>
              <w:numPr>
                <w:ilvl w:val="0"/>
                <w:numId w:val="27"/>
              </w:numPr>
              <w:spacing w:after="240" w:line="276" w:lineRule="auto"/>
              <w:ind w:left="1029" w:hanging="425"/>
              <w:rPr>
                <w:color w:val="000000"/>
                <w:sz w:val="20"/>
                <w:szCs w:val="20"/>
              </w:rPr>
            </w:pPr>
            <w:r>
              <w:rPr>
                <w:color w:val="000000"/>
                <w:sz w:val="20"/>
                <w:szCs w:val="20"/>
              </w:rPr>
              <w:t>Redevelopment of Current Stock</w:t>
            </w:r>
          </w:p>
          <w:p w14:paraId="35FEA42D" w14:textId="77777777" w:rsidR="00B764FC" w:rsidRDefault="00B764FC" w:rsidP="00077040">
            <w:pPr>
              <w:pStyle w:val="ListParagraph"/>
              <w:numPr>
                <w:ilvl w:val="0"/>
                <w:numId w:val="27"/>
              </w:numPr>
              <w:spacing w:line="276" w:lineRule="auto"/>
              <w:ind w:left="1029" w:hanging="425"/>
              <w:rPr>
                <w:color w:val="000000"/>
                <w:sz w:val="20"/>
                <w:szCs w:val="20"/>
              </w:rPr>
            </w:pPr>
            <w:r>
              <w:rPr>
                <w:color w:val="000000"/>
                <w:sz w:val="20"/>
                <w:szCs w:val="20"/>
              </w:rPr>
              <w:t>Leadership role of Local Government</w:t>
            </w:r>
          </w:p>
          <w:p w14:paraId="04ED1CD5" w14:textId="77777777" w:rsidR="00B764FC" w:rsidRDefault="00B764FC" w:rsidP="00077040">
            <w:pPr>
              <w:pStyle w:val="ListParagraph"/>
              <w:numPr>
                <w:ilvl w:val="0"/>
                <w:numId w:val="27"/>
              </w:numPr>
              <w:spacing w:after="240" w:line="276" w:lineRule="auto"/>
              <w:ind w:left="1029" w:hanging="425"/>
              <w:rPr>
                <w:color w:val="000000"/>
                <w:sz w:val="20"/>
                <w:szCs w:val="20"/>
              </w:rPr>
            </w:pPr>
            <w:r>
              <w:rPr>
                <w:color w:val="000000"/>
                <w:sz w:val="20"/>
                <w:szCs w:val="20"/>
              </w:rPr>
              <w:t>Partnerships with: State Government (for use of surplus land); Community Support Agencies (for identification of housing needs groups and appropriate social housing responses); Deakin University (for ongoing research into housing needs and potential responses); Registered Housing Associations (for development of social housing stock) etc.</w:t>
            </w:r>
          </w:p>
          <w:p w14:paraId="1777B9A0" w14:textId="77777777" w:rsidR="00B764FC" w:rsidRDefault="00B764FC" w:rsidP="00077040">
            <w:pPr>
              <w:pStyle w:val="ListParagraph"/>
              <w:numPr>
                <w:ilvl w:val="0"/>
                <w:numId w:val="27"/>
              </w:numPr>
              <w:spacing w:line="276" w:lineRule="auto"/>
              <w:ind w:left="1029" w:hanging="425"/>
              <w:rPr>
                <w:color w:val="000000"/>
                <w:sz w:val="20"/>
                <w:szCs w:val="20"/>
              </w:rPr>
            </w:pPr>
            <w:r>
              <w:rPr>
                <w:color w:val="000000"/>
                <w:sz w:val="20"/>
                <w:szCs w:val="20"/>
              </w:rPr>
              <w:t>Increased Social Housing Subsidies</w:t>
            </w:r>
          </w:p>
          <w:p w14:paraId="6718E2F9" w14:textId="77777777" w:rsidR="00B764FC" w:rsidRDefault="00B764FC" w:rsidP="00077040">
            <w:pPr>
              <w:pStyle w:val="ListParagraph"/>
              <w:numPr>
                <w:ilvl w:val="0"/>
                <w:numId w:val="27"/>
              </w:numPr>
              <w:spacing w:line="276" w:lineRule="auto"/>
              <w:ind w:left="1029" w:hanging="425"/>
              <w:rPr>
                <w:color w:val="000000"/>
                <w:sz w:val="20"/>
                <w:szCs w:val="20"/>
              </w:rPr>
            </w:pPr>
            <w:r>
              <w:rPr>
                <w:color w:val="000000"/>
                <w:sz w:val="20"/>
                <w:szCs w:val="20"/>
              </w:rPr>
              <w:t>Support Services</w:t>
            </w:r>
          </w:p>
          <w:p w14:paraId="61F03B3D" w14:textId="0DCFD5D6" w:rsidR="00B764FC" w:rsidRPr="00692CCA" w:rsidRDefault="00B764FC" w:rsidP="00692CCA">
            <w:pPr>
              <w:pStyle w:val="ListParagraph"/>
              <w:numPr>
                <w:ilvl w:val="0"/>
                <w:numId w:val="27"/>
              </w:numPr>
              <w:spacing w:line="276" w:lineRule="auto"/>
              <w:ind w:left="1029" w:hanging="425"/>
              <w:rPr>
                <w:sz w:val="20"/>
                <w:szCs w:val="20"/>
              </w:rPr>
            </w:pPr>
            <w:r>
              <w:rPr>
                <w:color w:val="000000"/>
                <w:sz w:val="20"/>
                <w:szCs w:val="20"/>
              </w:rPr>
              <w:t>Community Education</w:t>
            </w:r>
          </w:p>
        </w:tc>
      </w:tr>
      <w:tr w:rsidR="00B764FC" w14:paraId="1E7A241C" w14:textId="77777777">
        <w:tc>
          <w:tcPr>
            <w:tcW w:w="9138" w:type="dxa"/>
            <w:gridSpan w:val="2"/>
            <w:tcBorders>
              <w:left w:val="nil"/>
              <w:right w:val="nil"/>
            </w:tcBorders>
            <w:shd w:val="clear" w:color="auto" w:fill="FFFFFF"/>
            <w:vAlign w:val="center"/>
          </w:tcPr>
          <w:p w14:paraId="00357946" w14:textId="77777777" w:rsidR="00B764FC" w:rsidRDefault="00B764FC">
            <w:pPr>
              <w:spacing w:line="276" w:lineRule="auto"/>
              <w:jc w:val="center"/>
              <w:rPr>
                <w:b/>
                <w:bCs/>
                <w:i/>
                <w:iCs/>
                <w:sz w:val="20"/>
                <w:szCs w:val="20"/>
              </w:rPr>
            </w:pPr>
            <w:r>
              <w:rPr>
                <w:b/>
                <w:bCs/>
                <w:i/>
                <w:iCs/>
                <w:sz w:val="20"/>
                <w:szCs w:val="20"/>
              </w:rPr>
              <w:lastRenderedPageBreak/>
              <w:t>Planning for Future Social Housing in Geelong – What Should be Considered</w:t>
            </w:r>
          </w:p>
        </w:tc>
      </w:tr>
      <w:tr w:rsidR="00B764FC" w14:paraId="7538FDF4" w14:textId="77777777">
        <w:tc>
          <w:tcPr>
            <w:tcW w:w="4536" w:type="dxa"/>
            <w:tcBorders>
              <w:left w:val="nil"/>
              <w:right w:val="nil"/>
            </w:tcBorders>
          </w:tcPr>
          <w:p w14:paraId="4EC80A0F" w14:textId="77777777" w:rsidR="00B764FC" w:rsidRDefault="00B764FC">
            <w:pPr>
              <w:spacing w:line="276" w:lineRule="auto"/>
              <w:jc w:val="both"/>
              <w:rPr>
                <w:sz w:val="20"/>
                <w:szCs w:val="20"/>
              </w:rPr>
            </w:pPr>
            <w:r>
              <w:rPr>
                <w:sz w:val="20"/>
                <w:szCs w:val="20"/>
              </w:rPr>
              <w:t xml:space="preserve">Individuals and organisations consulted through the current project identified a number of </w:t>
            </w:r>
            <w:r>
              <w:rPr>
                <w:i/>
                <w:iCs/>
                <w:sz w:val="20"/>
                <w:szCs w:val="20"/>
              </w:rPr>
              <w:t>specific areas</w:t>
            </w:r>
            <w:r>
              <w:rPr>
                <w:sz w:val="20"/>
                <w:szCs w:val="20"/>
              </w:rPr>
              <w:t xml:space="preserve"> that are preferred locations for future housing. Recurrent themes include:</w:t>
            </w:r>
          </w:p>
          <w:p w14:paraId="6B36B90A" w14:textId="77777777" w:rsidR="00B764FC" w:rsidRDefault="00B764FC">
            <w:pPr>
              <w:spacing w:line="276" w:lineRule="auto"/>
              <w:ind w:left="1134"/>
              <w:jc w:val="both"/>
              <w:rPr>
                <w:sz w:val="20"/>
                <w:szCs w:val="20"/>
              </w:rPr>
            </w:pPr>
          </w:p>
          <w:p w14:paraId="2D659B70" w14:textId="77777777" w:rsidR="00B764FC" w:rsidRDefault="00B764FC" w:rsidP="00077040">
            <w:pPr>
              <w:pStyle w:val="ListParagraph"/>
              <w:numPr>
                <w:ilvl w:val="0"/>
                <w:numId w:val="30"/>
              </w:numPr>
              <w:spacing w:line="276" w:lineRule="auto"/>
              <w:ind w:left="1171" w:hanging="567"/>
              <w:rPr>
                <w:sz w:val="20"/>
                <w:szCs w:val="20"/>
              </w:rPr>
            </w:pPr>
            <w:r>
              <w:rPr>
                <w:sz w:val="20"/>
                <w:szCs w:val="20"/>
              </w:rPr>
              <w:t>Armstrong Creek</w:t>
            </w:r>
          </w:p>
          <w:p w14:paraId="2E08D342" w14:textId="77777777" w:rsidR="00B764FC" w:rsidRDefault="00B764FC" w:rsidP="00077040">
            <w:pPr>
              <w:pStyle w:val="ListParagraph"/>
              <w:numPr>
                <w:ilvl w:val="0"/>
                <w:numId w:val="30"/>
              </w:numPr>
              <w:spacing w:line="276" w:lineRule="auto"/>
              <w:ind w:left="1171" w:hanging="567"/>
              <w:rPr>
                <w:sz w:val="20"/>
                <w:szCs w:val="20"/>
              </w:rPr>
            </w:pPr>
            <w:r>
              <w:rPr>
                <w:sz w:val="20"/>
                <w:szCs w:val="20"/>
              </w:rPr>
              <w:t>Central City Areas</w:t>
            </w:r>
          </w:p>
          <w:p w14:paraId="239D4DF7" w14:textId="77777777" w:rsidR="00B764FC" w:rsidRDefault="00B764FC" w:rsidP="00077040">
            <w:pPr>
              <w:pStyle w:val="ListParagraph"/>
              <w:numPr>
                <w:ilvl w:val="0"/>
                <w:numId w:val="30"/>
              </w:numPr>
              <w:spacing w:line="276" w:lineRule="auto"/>
              <w:ind w:left="1171" w:hanging="567"/>
              <w:rPr>
                <w:sz w:val="20"/>
                <w:szCs w:val="20"/>
              </w:rPr>
            </w:pPr>
            <w:r>
              <w:rPr>
                <w:sz w:val="20"/>
                <w:szCs w:val="20"/>
              </w:rPr>
              <w:t>Pakington Street area</w:t>
            </w:r>
          </w:p>
          <w:p w14:paraId="64C4BF0A" w14:textId="77777777" w:rsidR="00B764FC" w:rsidRDefault="00B764FC" w:rsidP="00077040">
            <w:pPr>
              <w:pStyle w:val="ListParagraph"/>
              <w:numPr>
                <w:ilvl w:val="0"/>
                <w:numId w:val="30"/>
              </w:numPr>
              <w:spacing w:line="276" w:lineRule="auto"/>
              <w:ind w:left="1171" w:hanging="567"/>
              <w:rPr>
                <w:sz w:val="20"/>
                <w:szCs w:val="20"/>
              </w:rPr>
            </w:pPr>
            <w:r>
              <w:rPr>
                <w:sz w:val="20"/>
                <w:szCs w:val="20"/>
              </w:rPr>
              <w:t>Hamlyn Heights, Herne Hill, St Albans Park, Moolap</w:t>
            </w:r>
          </w:p>
          <w:p w14:paraId="6AE1D951" w14:textId="77777777" w:rsidR="00B764FC" w:rsidRDefault="00B764FC" w:rsidP="00077040">
            <w:pPr>
              <w:pStyle w:val="ListParagraph"/>
              <w:numPr>
                <w:ilvl w:val="0"/>
                <w:numId w:val="30"/>
              </w:numPr>
              <w:spacing w:line="276" w:lineRule="auto"/>
              <w:ind w:left="1171" w:hanging="567"/>
              <w:rPr>
                <w:sz w:val="20"/>
                <w:szCs w:val="20"/>
              </w:rPr>
            </w:pPr>
            <w:r>
              <w:rPr>
                <w:sz w:val="20"/>
                <w:szCs w:val="20"/>
              </w:rPr>
              <w:t xml:space="preserve">Away from areas which currently have high levels of social housing </w:t>
            </w:r>
          </w:p>
          <w:p w14:paraId="755AEDD6" w14:textId="77777777" w:rsidR="00B764FC" w:rsidRDefault="00B764FC" w:rsidP="00077040">
            <w:pPr>
              <w:pStyle w:val="ListParagraph"/>
              <w:numPr>
                <w:ilvl w:val="0"/>
                <w:numId w:val="30"/>
              </w:numPr>
              <w:spacing w:line="276" w:lineRule="auto"/>
              <w:ind w:left="1171" w:hanging="567"/>
              <w:rPr>
                <w:sz w:val="20"/>
                <w:szCs w:val="20"/>
              </w:rPr>
            </w:pPr>
            <w:r>
              <w:rPr>
                <w:sz w:val="20"/>
                <w:szCs w:val="20"/>
              </w:rPr>
              <w:t xml:space="preserve">A need for supporting infrastructure, particularly public transport </w:t>
            </w:r>
          </w:p>
          <w:p w14:paraId="3C631CDC" w14:textId="77777777" w:rsidR="00B764FC" w:rsidRDefault="00B764FC">
            <w:pPr>
              <w:spacing w:after="240" w:line="276" w:lineRule="auto"/>
              <w:ind w:left="1134"/>
              <w:rPr>
                <w:sz w:val="20"/>
                <w:szCs w:val="20"/>
              </w:rPr>
            </w:pPr>
          </w:p>
          <w:p w14:paraId="4156EFF9" w14:textId="77777777" w:rsidR="00B764FC" w:rsidRDefault="00B764FC">
            <w:pPr>
              <w:pStyle w:val="ListParagraph"/>
              <w:spacing w:line="276" w:lineRule="auto"/>
              <w:ind w:left="306"/>
              <w:jc w:val="both"/>
              <w:rPr>
                <w:sz w:val="20"/>
                <w:szCs w:val="20"/>
              </w:rPr>
            </w:pPr>
          </w:p>
        </w:tc>
        <w:tc>
          <w:tcPr>
            <w:tcW w:w="4602" w:type="dxa"/>
            <w:tcBorders>
              <w:left w:val="nil"/>
              <w:right w:val="nil"/>
            </w:tcBorders>
          </w:tcPr>
          <w:p w14:paraId="3F410B4F" w14:textId="77777777" w:rsidR="00B764FC" w:rsidRDefault="00B764FC">
            <w:pPr>
              <w:spacing w:after="240" w:line="276" w:lineRule="auto"/>
              <w:rPr>
                <w:sz w:val="20"/>
                <w:szCs w:val="20"/>
              </w:rPr>
            </w:pPr>
            <w:r>
              <w:rPr>
                <w:sz w:val="20"/>
                <w:szCs w:val="20"/>
              </w:rPr>
              <w:t xml:space="preserve">A range of </w:t>
            </w:r>
            <w:r>
              <w:rPr>
                <w:i/>
                <w:iCs/>
                <w:sz w:val="20"/>
                <w:szCs w:val="20"/>
              </w:rPr>
              <w:t>initiatives related to increasing the supply of social housing</w:t>
            </w:r>
            <w:r>
              <w:rPr>
                <w:sz w:val="20"/>
                <w:szCs w:val="20"/>
              </w:rPr>
              <w:t xml:space="preserve"> in the Geelong area were also identified. Recurrent themes include:</w:t>
            </w:r>
          </w:p>
          <w:p w14:paraId="3D5BA619" w14:textId="77777777" w:rsidR="00B764FC" w:rsidRDefault="00B764FC" w:rsidP="00077040">
            <w:pPr>
              <w:pStyle w:val="ListParagraph"/>
              <w:numPr>
                <w:ilvl w:val="0"/>
                <w:numId w:val="31"/>
              </w:numPr>
              <w:spacing w:line="276" w:lineRule="auto"/>
              <w:ind w:left="677" w:hanging="425"/>
              <w:rPr>
                <w:sz w:val="20"/>
                <w:szCs w:val="20"/>
              </w:rPr>
            </w:pPr>
            <w:r>
              <w:rPr>
                <w:sz w:val="20"/>
                <w:szCs w:val="20"/>
              </w:rPr>
              <w:t>Short term responses such as a ‘relocatable rooms’ allowing temporary expansion of current dwellings</w:t>
            </w:r>
          </w:p>
          <w:p w14:paraId="7FFFE319" w14:textId="77777777" w:rsidR="00B764FC" w:rsidRDefault="00B764FC" w:rsidP="00077040">
            <w:pPr>
              <w:pStyle w:val="ListParagraph"/>
              <w:numPr>
                <w:ilvl w:val="0"/>
                <w:numId w:val="31"/>
              </w:numPr>
              <w:spacing w:line="276" w:lineRule="auto"/>
              <w:ind w:left="677" w:hanging="425"/>
              <w:rPr>
                <w:sz w:val="20"/>
                <w:szCs w:val="20"/>
              </w:rPr>
            </w:pPr>
            <w:r>
              <w:rPr>
                <w:sz w:val="20"/>
                <w:szCs w:val="20"/>
              </w:rPr>
              <w:t xml:space="preserve">Financial contributions from dwelling sales to finance future social housing </w:t>
            </w:r>
          </w:p>
          <w:p w14:paraId="16B82401" w14:textId="77777777" w:rsidR="00B764FC" w:rsidRDefault="00B764FC" w:rsidP="00077040">
            <w:pPr>
              <w:pStyle w:val="ListParagraph"/>
              <w:numPr>
                <w:ilvl w:val="0"/>
                <w:numId w:val="31"/>
              </w:numPr>
              <w:spacing w:line="276" w:lineRule="auto"/>
              <w:ind w:left="677" w:hanging="425"/>
              <w:rPr>
                <w:sz w:val="20"/>
                <w:szCs w:val="20"/>
              </w:rPr>
            </w:pPr>
            <w:r>
              <w:rPr>
                <w:sz w:val="20"/>
                <w:szCs w:val="20"/>
              </w:rPr>
              <w:t xml:space="preserve">Micro villages for ageing populations </w:t>
            </w:r>
          </w:p>
          <w:p w14:paraId="3149FFD3" w14:textId="77777777" w:rsidR="00B764FC" w:rsidRDefault="00B764FC" w:rsidP="00077040">
            <w:pPr>
              <w:pStyle w:val="ListParagraph"/>
              <w:numPr>
                <w:ilvl w:val="0"/>
                <w:numId w:val="31"/>
              </w:numPr>
              <w:spacing w:line="276" w:lineRule="auto"/>
              <w:ind w:left="677" w:hanging="425"/>
              <w:rPr>
                <w:sz w:val="20"/>
                <w:szCs w:val="20"/>
              </w:rPr>
            </w:pPr>
            <w:r>
              <w:rPr>
                <w:sz w:val="20"/>
                <w:szCs w:val="20"/>
              </w:rPr>
              <w:t>Apartments for women and children escaping domestic violence</w:t>
            </w:r>
          </w:p>
          <w:p w14:paraId="7EE803BC" w14:textId="77777777" w:rsidR="00B764FC" w:rsidRDefault="00B764FC" w:rsidP="00077040">
            <w:pPr>
              <w:pStyle w:val="ListParagraph"/>
              <w:numPr>
                <w:ilvl w:val="0"/>
                <w:numId w:val="31"/>
              </w:numPr>
              <w:spacing w:line="276" w:lineRule="auto"/>
              <w:ind w:left="677" w:hanging="425"/>
              <w:rPr>
                <w:sz w:val="20"/>
                <w:szCs w:val="20"/>
              </w:rPr>
            </w:pPr>
            <w:r>
              <w:rPr>
                <w:sz w:val="20"/>
                <w:szCs w:val="20"/>
              </w:rPr>
              <w:t>Programs to support people to move into home ownership</w:t>
            </w:r>
          </w:p>
          <w:p w14:paraId="25E44B72" w14:textId="77777777" w:rsidR="00B764FC" w:rsidRDefault="00B764FC" w:rsidP="00077040">
            <w:pPr>
              <w:pStyle w:val="ListParagraph"/>
              <w:numPr>
                <w:ilvl w:val="0"/>
                <w:numId w:val="31"/>
              </w:numPr>
              <w:spacing w:line="276" w:lineRule="auto"/>
              <w:ind w:left="677" w:hanging="425"/>
              <w:rPr>
                <w:sz w:val="20"/>
                <w:szCs w:val="20"/>
              </w:rPr>
            </w:pPr>
            <w:r>
              <w:rPr>
                <w:sz w:val="20"/>
                <w:szCs w:val="20"/>
              </w:rPr>
              <w:t xml:space="preserve">Incentives for developers such as reduced car parking etc. </w:t>
            </w:r>
          </w:p>
          <w:p w14:paraId="422F098A" w14:textId="77777777" w:rsidR="00B764FC" w:rsidRDefault="00B764FC" w:rsidP="00077040">
            <w:pPr>
              <w:pStyle w:val="ListParagraph"/>
              <w:numPr>
                <w:ilvl w:val="0"/>
                <w:numId w:val="31"/>
              </w:numPr>
              <w:spacing w:line="276" w:lineRule="auto"/>
              <w:ind w:left="677" w:hanging="425"/>
              <w:rPr>
                <w:sz w:val="20"/>
                <w:szCs w:val="20"/>
              </w:rPr>
            </w:pPr>
            <w:r>
              <w:rPr>
                <w:sz w:val="20"/>
                <w:szCs w:val="20"/>
              </w:rPr>
              <w:t xml:space="preserve">Development of surplus State Government land i.e. Barwon Water </w:t>
            </w:r>
          </w:p>
          <w:p w14:paraId="218DC4A8" w14:textId="77777777" w:rsidR="00B764FC" w:rsidRDefault="00B764FC" w:rsidP="00077040">
            <w:pPr>
              <w:pStyle w:val="ListParagraph"/>
              <w:numPr>
                <w:ilvl w:val="0"/>
                <w:numId w:val="31"/>
              </w:numPr>
              <w:spacing w:line="276" w:lineRule="auto"/>
              <w:ind w:left="677" w:hanging="425"/>
              <w:rPr>
                <w:sz w:val="20"/>
                <w:szCs w:val="20"/>
              </w:rPr>
            </w:pPr>
            <w:r>
              <w:rPr>
                <w:sz w:val="20"/>
                <w:szCs w:val="20"/>
              </w:rPr>
              <w:t>Establishment of Housing Trusts at other Local Government Areas</w:t>
            </w:r>
          </w:p>
          <w:p w14:paraId="56BE2C7C" w14:textId="77777777" w:rsidR="00B764FC" w:rsidRDefault="00B764FC" w:rsidP="00077040">
            <w:pPr>
              <w:pStyle w:val="ListParagraph"/>
              <w:numPr>
                <w:ilvl w:val="0"/>
                <w:numId w:val="31"/>
              </w:numPr>
              <w:spacing w:line="276" w:lineRule="auto"/>
              <w:ind w:left="677" w:hanging="425"/>
              <w:rPr>
                <w:color w:val="000000"/>
                <w:sz w:val="20"/>
                <w:szCs w:val="20"/>
              </w:rPr>
            </w:pPr>
            <w:r>
              <w:rPr>
                <w:color w:val="000000"/>
                <w:sz w:val="20"/>
                <w:szCs w:val="20"/>
              </w:rPr>
              <w:t>Liveable Housing Australia model</w:t>
            </w:r>
          </w:p>
          <w:p w14:paraId="58BD6783" w14:textId="77777777" w:rsidR="00B764FC" w:rsidRDefault="00B764FC">
            <w:pPr>
              <w:spacing w:line="276" w:lineRule="auto"/>
              <w:rPr>
                <w:sz w:val="20"/>
                <w:szCs w:val="20"/>
              </w:rPr>
            </w:pPr>
          </w:p>
        </w:tc>
      </w:tr>
    </w:tbl>
    <w:p w14:paraId="26737307" w14:textId="77777777" w:rsidR="00B764FC" w:rsidRDefault="00B764FC">
      <w:pPr>
        <w:spacing w:line="276" w:lineRule="auto"/>
      </w:pPr>
    </w:p>
    <w:p w14:paraId="361090E9" w14:textId="77777777" w:rsidR="00B764FC" w:rsidRDefault="00B764FC">
      <w:pPr>
        <w:spacing w:line="276" w:lineRule="auto"/>
      </w:pPr>
      <w:r>
        <w:rPr>
          <w:sz w:val="22"/>
          <w:szCs w:val="22"/>
        </w:rPr>
        <w:t xml:space="preserve">The knowledge and insight provided through these community consultations about current and future social housing needs across Geelong have directly informed </w:t>
      </w:r>
      <w:r>
        <w:rPr>
          <w:b/>
          <w:bCs/>
          <w:sz w:val="22"/>
          <w:szCs w:val="22"/>
        </w:rPr>
        <w:t>Part A: Social Housing Plan</w:t>
      </w:r>
      <w:r>
        <w:rPr>
          <w:sz w:val="22"/>
          <w:szCs w:val="22"/>
        </w:rPr>
        <w:t xml:space="preserve">. </w:t>
      </w:r>
      <w:r>
        <w:br w:type="page"/>
      </w:r>
    </w:p>
    <w:p w14:paraId="34940B6B" w14:textId="77777777" w:rsidR="00B764FC" w:rsidRPr="00CF4E99" w:rsidRDefault="00B764FC" w:rsidP="00077040">
      <w:pPr>
        <w:pStyle w:val="Heading1"/>
        <w:numPr>
          <w:ilvl w:val="0"/>
          <w:numId w:val="14"/>
        </w:numPr>
        <w:rPr>
          <w:color w:val="002060"/>
        </w:rPr>
      </w:pPr>
      <w:bookmarkStart w:id="40" w:name="_Toc22120166"/>
      <w:bookmarkEnd w:id="33"/>
      <w:bookmarkEnd w:id="34"/>
      <w:bookmarkEnd w:id="35"/>
      <w:r w:rsidRPr="00CF4E99">
        <w:rPr>
          <w:color w:val="002060"/>
        </w:rPr>
        <w:lastRenderedPageBreak/>
        <w:t>What is the need for Social Housing in Geelong?</w:t>
      </w:r>
      <w:bookmarkEnd w:id="40"/>
    </w:p>
    <w:p w14:paraId="2E86DA5E" w14:textId="77777777" w:rsidR="00B764FC" w:rsidRDefault="00B764FC"/>
    <w:p w14:paraId="06742178" w14:textId="77777777" w:rsidR="00B764FC" w:rsidRPr="00CF4E99" w:rsidRDefault="00B764FC">
      <w:pPr>
        <w:pStyle w:val="Heading2"/>
      </w:pPr>
      <w:bookmarkStart w:id="41" w:name="_Toc22120167"/>
      <w:r w:rsidRPr="00CF4E99">
        <w:t>6.1</w:t>
      </w:r>
      <w:r w:rsidRPr="00CF4E99">
        <w:tab/>
        <w:t>What are the housing conditions in Geelong?</w:t>
      </w:r>
      <w:bookmarkEnd w:id="41"/>
    </w:p>
    <w:p w14:paraId="3034997D" w14:textId="77777777" w:rsidR="00B764FC" w:rsidRDefault="00B764FC">
      <w:pPr>
        <w:spacing w:line="276" w:lineRule="auto"/>
        <w:jc w:val="both"/>
        <w:rPr>
          <w:b/>
          <w:bCs/>
          <w:sz w:val="22"/>
          <w:szCs w:val="22"/>
        </w:rPr>
      </w:pPr>
      <w:r>
        <w:rPr>
          <w:b/>
          <w:bCs/>
          <w:sz w:val="22"/>
          <w:szCs w:val="22"/>
        </w:rPr>
        <w:t>Housing affordability</w:t>
      </w:r>
    </w:p>
    <w:p w14:paraId="6CF12048" w14:textId="77777777" w:rsidR="00B764FC" w:rsidRDefault="00B764FC">
      <w:pPr>
        <w:spacing w:before="240" w:line="276" w:lineRule="auto"/>
        <w:jc w:val="both"/>
        <w:rPr>
          <w:sz w:val="22"/>
          <w:szCs w:val="22"/>
        </w:rPr>
      </w:pPr>
      <w:r>
        <w:rPr>
          <w:sz w:val="22"/>
          <w:szCs w:val="22"/>
        </w:rPr>
        <w:t xml:space="preserve">Housing affordability is determined by the cost of housing - rental (or mortgage) payments, in relation to the level of income.  The Victorian Government Department of Health and Human Services provides reports on housing affordability, by local government area.  </w:t>
      </w:r>
    </w:p>
    <w:p w14:paraId="79705C1E" w14:textId="77777777" w:rsidR="00B764FC" w:rsidRDefault="00B764FC">
      <w:pPr>
        <w:spacing w:before="240" w:after="240" w:line="276" w:lineRule="auto"/>
        <w:jc w:val="both"/>
        <w:rPr>
          <w:b/>
          <w:bCs/>
          <w:sz w:val="22"/>
          <w:szCs w:val="22"/>
        </w:rPr>
      </w:pPr>
      <w:r>
        <w:rPr>
          <w:b/>
          <w:bCs/>
          <w:sz w:val="22"/>
          <w:szCs w:val="22"/>
        </w:rPr>
        <w:t>Affordability of private rental properties</w:t>
      </w:r>
    </w:p>
    <w:p w14:paraId="668AF5BD" w14:textId="77777777" w:rsidR="00B764FC" w:rsidRDefault="00B764FC">
      <w:pPr>
        <w:spacing w:line="276" w:lineRule="auto"/>
        <w:jc w:val="both"/>
        <w:rPr>
          <w:sz w:val="22"/>
          <w:szCs w:val="22"/>
        </w:rPr>
      </w:pPr>
      <w:r>
        <w:rPr>
          <w:sz w:val="22"/>
          <w:szCs w:val="22"/>
        </w:rPr>
        <w:t xml:space="preserve">There has been a significant </w:t>
      </w:r>
      <w:r>
        <w:rPr>
          <w:b/>
          <w:bCs/>
          <w:sz w:val="22"/>
          <w:szCs w:val="22"/>
        </w:rPr>
        <w:t>decline in affordability of private rental dwellings</w:t>
      </w:r>
      <w:r>
        <w:rPr>
          <w:sz w:val="22"/>
          <w:szCs w:val="22"/>
        </w:rPr>
        <w:t xml:space="preserve"> over the last 10-15 years.  The following Figure 4 shows the proportion of dwellings available for rent that would be affordable as defined by DHHS (Rent Report), for one, 2, 3- and 4-bedroom properties in Geelong, since 2000.</w:t>
      </w:r>
    </w:p>
    <w:p w14:paraId="7C0243D3" w14:textId="77777777" w:rsidR="00B764FC" w:rsidRDefault="00B764FC"/>
    <w:p w14:paraId="7DF0F2A1" w14:textId="77777777" w:rsidR="00B764FC" w:rsidRDefault="00A92396">
      <w:r>
        <w:rPr>
          <w:noProof/>
          <w:sz w:val="20"/>
          <w:szCs w:val="20"/>
          <w:lang w:eastAsia="en-AU"/>
        </w:rPr>
        <w:drawing>
          <wp:inline distT="0" distB="0" distL="0" distR="0" wp14:anchorId="7D25D41D" wp14:editId="2F475C4A">
            <wp:extent cx="5905500" cy="3876675"/>
            <wp:effectExtent l="0" t="0" r="0" b="0"/>
            <wp:docPr id="7"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9909CB" w14:textId="77777777" w:rsidR="00B764FC" w:rsidRDefault="00B764FC"/>
    <w:p w14:paraId="4D197B99" w14:textId="43F06DAB" w:rsidR="00B764FC" w:rsidRDefault="00B764FC">
      <w:pPr>
        <w:pStyle w:val="Caption"/>
        <w:rPr>
          <w:b/>
          <w:bCs/>
        </w:rPr>
      </w:pPr>
      <w:bookmarkStart w:id="42" w:name="_Toc22120089"/>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2</w:t>
      </w:r>
      <w:r w:rsidR="00FF5CA4">
        <w:rPr>
          <w:b/>
          <w:bCs/>
        </w:rPr>
        <w:fldChar w:fldCharType="end"/>
      </w:r>
      <w:r>
        <w:rPr>
          <w:b/>
          <w:bCs/>
        </w:rPr>
        <w:t>: Median Rents – 2011 - 2016</w:t>
      </w:r>
      <w:bookmarkEnd w:id="42"/>
    </w:p>
    <w:p w14:paraId="65A78807" w14:textId="77777777" w:rsidR="00B764FC" w:rsidRDefault="00B764FC">
      <w:pPr>
        <w:rPr>
          <w:color w:val="000000"/>
          <w:sz w:val="20"/>
          <w:szCs w:val="20"/>
          <w:lang w:val="en-US"/>
        </w:rPr>
      </w:pPr>
      <w:r>
        <w:rPr>
          <w:i/>
          <w:iCs/>
          <w:color w:val="000000"/>
          <w:sz w:val="20"/>
          <w:szCs w:val="20"/>
          <w:lang w:val="en-US"/>
        </w:rPr>
        <w:t>Source</w:t>
      </w:r>
      <w:r>
        <w:rPr>
          <w:color w:val="000000"/>
          <w:sz w:val="20"/>
          <w:szCs w:val="20"/>
          <w:lang w:val="en-US"/>
        </w:rPr>
        <w:t>:</w:t>
      </w:r>
      <w:r>
        <w:rPr>
          <w:color w:val="000000"/>
          <w:sz w:val="20"/>
          <w:szCs w:val="20"/>
          <w:lang w:val="en-US"/>
        </w:rPr>
        <w:tab/>
        <w:t xml:space="preserve">DHHS, Rental Report </w:t>
      </w:r>
    </w:p>
    <w:p w14:paraId="671A6083" w14:textId="77777777" w:rsidR="00B764FC" w:rsidRDefault="00B764FC">
      <w:pPr>
        <w:spacing w:line="276" w:lineRule="auto"/>
        <w:ind w:left="1134"/>
        <w:rPr>
          <w:lang w:val="en-US"/>
        </w:rPr>
      </w:pPr>
    </w:p>
    <w:p w14:paraId="79F577F9" w14:textId="77777777" w:rsidR="00B764FC" w:rsidRDefault="00B764FC">
      <w:pPr>
        <w:spacing w:line="276" w:lineRule="auto"/>
        <w:ind w:left="1134"/>
        <w:rPr>
          <w:lang w:val="en-US"/>
        </w:rPr>
      </w:pPr>
    </w:p>
    <w:p w14:paraId="59088B5C" w14:textId="77777777" w:rsidR="00B764FC" w:rsidRDefault="00B764FC">
      <w:pPr>
        <w:spacing w:line="276" w:lineRule="auto"/>
        <w:ind w:left="1134"/>
        <w:rPr>
          <w:lang w:val="en-US"/>
        </w:rPr>
      </w:pPr>
    </w:p>
    <w:p w14:paraId="37D724A9" w14:textId="77777777" w:rsidR="00B764FC" w:rsidRDefault="00B764FC">
      <w:pPr>
        <w:spacing w:line="276" w:lineRule="auto"/>
        <w:ind w:left="1134"/>
        <w:rPr>
          <w:lang w:val="en-US"/>
        </w:rPr>
      </w:pPr>
    </w:p>
    <w:p w14:paraId="53A631DF" w14:textId="77777777" w:rsidR="00B764FC" w:rsidRDefault="00B764FC">
      <w:pPr>
        <w:spacing w:line="276" w:lineRule="auto"/>
        <w:ind w:left="1134"/>
        <w:rPr>
          <w:lang w:val="en-US"/>
        </w:rPr>
      </w:pPr>
    </w:p>
    <w:p w14:paraId="29D426FB" w14:textId="77777777" w:rsidR="00B764FC" w:rsidRDefault="00B764FC">
      <w:pPr>
        <w:spacing w:after="240" w:line="276" w:lineRule="auto"/>
        <w:jc w:val="both"/>
        <w:rPr>
          <w:sz w:val="22"/>
          <w:szCs w:val="22"/>
        </w:rPr>
      </w:pPr>
      <w:r>
        <w:rPr>
          <w:sz w:val="22"/>
          <w:szCs w:val="22"/>
          <w:lang w:val="en-US"/>
        </w:rPr>
        <w:lastRenderedPageBreak/>
        <w:t xml:space="preserve">The data indicates that despite the substantial growth in housing supply in Geelong in recent years, the </w:t>
      </w:r>
      <w:r>
        <w:rPr>
          <w:b/>
          <w:bCs/>
          <w:sz w:val="22"/>
          <w:szCs w:val="22"/>
          <w:lang w:val="en-US"/>
        </w:rPr>
        <w:t>proportion of affordable dwellings has significantly decreased</w:t>
      </w:r>
      <w:r>
        <w:rPr>
          <w:sz w:val="22"/>
          <w:szCs w:val="22"/>
          <w:lang w:val="en-US"/>
        </w:rPr>
        <w:t xml:space="preserve">.  </w:t>
      </w:r>
      <w:r>
        <w:rPr>
          <w:sz w:val="22"/>
          <w:szCs w:val="22"/>
        </w:rPr>
        <w:t>Analysis of recent rental costs across the City of Greater Geelong shows:</w:t>
      </w:r>
    </w:p>
    <w:p w14:paraId="4AE84566"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lang w:val="en-US"/>
        </w:rPr>
        <w:t>Only 15% of recently let 2-bedroom rental properties are affordable</w:t>
      </w:r>
    </w:p>
    <w:p w14:paraId="4BBB2834"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lang w:val="en-US"/>
        </w:rPr>
        <w:t>About 30% of recently let 3-bedroom rental properties are affordable</w:t>
      </w:r>
    </w:p>
    <w:p w14:paraId="66023E09"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lang w:val="en-US"/>
        </w:rPr>
      </w:pPr>
      <w:r>
        <w:rPr>
          <w:sz w:val="22"/>
          <w:szCs w:val="22"/>
          <w:lang w:val="en-US"/>
        </w:rPr>
        <w:t>The affordability of 4-bedroom rental dwellings has reduced over the last few years to about 20%</w:t>
      </w:r>
    </w:p>
    <w:p w14:paraId="7F12D5BA" w14:textId="77777777" w:rsidR="00B764FC" w:rsidRDefault="00B764FC" w:rsidP="00077040">
      <w:pPr>
        <w:pStyle w:val="ListParagraph"/>
        <w:numPr>
          <w:ilvl w:val="0"/>
          <w:numId w:val="38"/>
        </w:numPr>
        <w:tabs>
          <w:tab w:val="clear" w:pos="360"/>
          <w:tab w:val="num" w:pos="1418"/>
        </w:tabs>
        <w:spacing w:before="60" w:after="240" w:line="276" w:lineRule="auto"/>
        <w:ind w:left="567" w:hanging="567"/>
        <w:jc w:val="both"/>
        <w:rPr>
          <w:sz w:val="22"/>
          <w:szCs w:val="22"/>
        </w:rPr>
      </w:pPr>
      <w:r>
        <w:rPr>
          <w:sz w:val="22"/>
          <w:szCs w:val="22"/>
          <w:lang w:val="en-US"/>
        </w:rPr>
        <w:t>There are currently no affordable 1-bedroom rental properties</w:t>
      </w:r>
      <w:r>
        <w:rPr>
          <w:rStyle w:val="FootnoteReference"/>
          <w:sz w:val="22"/>
          <w:szCs w:val="22"/>
          <w:lang w:val="en-US"/>
        </w:rPr>
        <w:footnoteReference w:id="6"/>
      </w:r>
    </w:p>
    <w:p w14:paraId="109E4772" w14:textId="77777777" w:rsidR="00B764FC" w:rsidRDefault="00B764FC">
      <w:pPr>
        <w:spacing w:after="240" w:line="276" w:lineRule="auto"/>
        <w:jc w:val="both"/>
        <w:rPr>
          <w:sz w:val="22"/>
          <w:szCs w:val="22"/>
          <w:lang w:val="en-US"/>
        </w:rPr>
      </w:pPr>
      <w:r>
        <w:rPr>
          <w:sz w:val="22"/>
          <w:szCs w:val="22"/>
          <w:lang w:val="en-US"/>
        </w:rPr>
        <w:t xml:space="preserve">Overall the number of </w:t>
      </w:r>
      <w:r>
        <w:rPr>
          <w:b/>
          <w:bCs/>
          <w:sz w:val="22"/>
          <w:szCs w:val="22"/>
          <w:lang w:val="en-US"/>
        </w:rPr>
        <w:t>affordable rental properties declined from around 80% in the year 2000 to 20%</w:t>
      </w:r>
      <w:r>
        <w:rPr>
          <w:sz w:val="22"/>
          <w:szCs w:val="22"/>
          <w:lang w:val="en-US"/>
        </w:rPr>
        <w:t xml:space="preserve"> in 2018.  This is the result of increases in rents, without commensurate increases in incomes, in low income households.</w:t>
      </w:r>
    </w:p>
    <w:p w14:paraId="23279218" w14:textId="77777777" w:rsidR="00B764FC" w:rsidRDefault="00B764FC">
      <w:pPr>
        <w:spacing w:after="240" w:line="276" w:lineRule="auto"/>
        <w:jc w:val="both"/>
        <w:rPr>
          <w:sz w:val="22"/>
          <w:szCs w:val="22"/>
          <w:lang w:val="en-US"/>
        </w:rPr>
      </w:pPr>
      <w:r>
        <w:rPr>
          <w:sz w:val="22"/>
          <w:szCs w:val="22"/>
          <w:lang w:val="en-US"/>
        </w:rPr>
        <w:t>The reduction in affordability of rental properties has been most dramatic for one- and two-bedroom dwellings.  Much of the increase in Geelong’s housing stock over the past decade has been 3- and 4-bedroom dwellings, with significantly less investment in 1- and 2-bedroom dwellings. For example, newly developing areas such as Armstrong Creek have a relatively high proportion of 3- and 4-bedroom dwellings (99% of dwellings).</w:t>
      </w:r>
    </w:p>
    <w:p w14:paraId="401C669B" w14:textId="77777777" w:rsidR="00B764FC" w:rsidRDefault="00B764FC">
      <w:pPr>
        <w:spacing w:line="276" w:lineRule="auto"/>
        <w:jc w:val="both"/>
        <w:rPr>
          <w:sz w:val="22"/>
          <w:szCs w:val="22"/>
          <w:lang w:val="en-US"/>
        </w:rPr>
      </w:pPr>
      <w:r>
        <w:rPr>
          <w:sz w:val="22"/>
          <w:szCs w:val="22"/>
          <w:lang w:val="en-US"/>
        </w:rPr>
        <w:t>Geelong now has a relatively high proportion of separate dwellings (84%) compared to Melbourne (66%), and 70% of the dwellings in Geelong are 3 or more bedrooms, compared to 63% for Melbourne.  This indicates an immediate need for a significant increase in affordable one and two-bedroom dwellings (e.g. suitable for lone person households, and single parent families).</w:t>
      </w:r>
    </w:p>
    <w:p w14:paraId="1C991184" w14:textId="77777777" w:rsidR="00B764FC" w:rsidRDefault="00B764FC">
      <w:pPr>
        <w:spacing w:before="240" w:line="276" w:lineRule="auto"/>
        <w:jc w:val="both"/>
      </w:pPr>
      <w:r>
        <w:rPr>
          <w:sz w:val="22"/>
          <w:szCs w:val="22"/>
        </w:rPr>
        <w:t>Further evidence in the reduction in affordability is provided by comparing median (average) rents with median incomes</w:t>
      </w:r>
      <w:r>
        <w:t xml:space="preserve">.  </w:t>
      </w:r>
    </w:p>
    <w:p w14:paraId="3741BA30" w14:textId="77777777" w:rsidR="00B764FC" w:rsidRDefault="00B764FC">
      <w:pPr>
        <w:spacing w:before="240" w:line="276" w:lineRule="auto"/>
        <w:jc w:val="both"/>
        <w:rPr>
          <w:b/>
          <w:bCs/>
          <w:sz w:val="22"/>
          <w:szCs w:val="22"/>
        </w:rPr>
      </w:pPr>
      <w:r>
        <w:rPr>
          <w:b/>
          <w:bCs/>
          <w:sz w:val="22"/>
          <w:szCs w:val="22"/>
        </w:rPr>
        <w:t>Median rents</w:t>
      </w:r>
    </w:p>
    <w:p w14:paraId="6F9096FB" w14:textId="77777777" w:rsidR="00B764FC" w:rsidRDefault="00B764FC">
      <w:pPr>
        <w:spacing w:after="240" w:line="276" w:lineRule="auto"/>
        <w:jc w:val="both"/>
        <w:rPr>
          <w:sz w:val="22"/>
          <w:szCs w:val="22"/>
          <w:lang w:val="en-US"/>
        </w:rPr>
      </w:pPr>
      <w:r>
        <w:rPr>
          <w:sz w:val="22"/>
          <w:szCs w:val="22"/>
        </w:rPr>
        <w:t xml:space="preserve">In the 5 years from 2011 to 2016 </w:t>
      </w:r>
      <w:r>
        <w:rPr>
          <w:b/>
          <w:bCs/>
          <w:sz w:val="22"/>
          <w:szCs w:val="22"/>
        </w:rPr>
        <w:t>median rents in Geelong increased on average by 22%.</w:t>
      </w:r>
      <w:r>
        <w:rPr>
          <w:sz w:val="22"/>
          <w:szCs w:val="22"/>
        </w:rPr>
        <w:t xml:space="preserve">  This was a </w:t>
      </w:r>
      <w:r>
        <w:rPr>
          <w:sz w:val="22"/>
          <w:szCs w:val="22"/>
          <w:lang w:val="en-US"/>
        </w:rPr>
        <w:t xml:space="preserve">greater increase than rental costs in Melbourne in the same time (15%) (Figure 3). </w:t>
      </w:r>
    </w:p>
    <w:p w14:paraId="18FD0955" w14:textId="77777777" w:rsidR="00B764FC" w:rsidRDefault="00B764FC">
      <w:pPr>
        <w:spacing w:after="240" w:line="276" w:lineRule="auto"/>
        <w:jc w:val="both"/>
        <w:rPr>
          <w:sz w:val="22"/>
          <w:szCs w:val="22"/>
        </w:rPr>
      </w:pPr>
      <w:r>
        <w:rPr>
          <w:sz w:val="22"/>
          <w:szCs w:val="22"/>
        </w:rPr>
        <w:t>Some areas experienced significant increases in rents (e.g. new growth areas), while in other areas rental increases were more modest.</w:t>
      </w:r>
    </w:p>
    <w:p w14:paraId="3E5BB5F4" w14:textId="77777777" w:rsidR="00B764FC" w:rsidRDefault="00B764FC">
      <w:pPr>
        <w:pStyle w:val="Caption"/>
      </w:pPr>
    </w:p>
    <w:p w14:paraId="5F6034B2" w14:textId="77777777" w:rsidR="00B764FC" w:rsidRDefault="00B764FC">
      <w:pPr>
        <w:pStyle w:val="Caption"/>
      </w:pPr>
      <w:bookmarkStart w:id="43" w:name="_Ref4431698"/>
      <w:bookmarkStart w:id="44" w:name="_Toc17315080"/>
    </w:p>
    <w:p w14:paraId="08D26F74" w14:textId="77777777" w:rsidR="00B764FC" w:rsidRDefault="00B764FC">
      <w:pPr>
        <w:pStyle w:val="Caption"/>
      </w:pPr>
    </w:p>
    <w:p w14:paraId="0C0A6001" w14:textId="77777777" w:rsidR="00B764FC" w:rsidRDefault="00B764FC">
      <w:pPr>
        <w:pStyle w:val="Caption"/>
      </w:pPr>
    </w:p>
    <w:p w14:paraId="0511B5F2" w14:textId="77777777" w:rsidR="00B764FC" w:rsidRDefault="00B764FC">
      <w:pPr>
        <w:pStyle w:val="Caption"/>
      </w:pPr>
    </w:p>
    <w:p w14:paraId="137DC581" w14:textId="77777777" w:rsidR="00B764FC" w:rsidRDefault="00A92396">
      <w:pPr>
        <w:pStyle w:val="Caption"/>
      </w:pPr>
      <w:r>
        <w:rPr>
          <w:noProof/>
          <w:lang w:eastAsia="en-AU"/>
        </w:rPr>
        <w:lastRenderedPageBreak/>
        <w:drawing>
          <wp:anchor distT="0" distB="0" distL="114300" distR="114300" simplePos="0" relativeHeight="251654656" behindDoc="0" locked="0" layoutInCell="0" allowOverlap="1" wp14:anchorId="5FAC512E" wp14:editId="70B34ACB">
            <wp:simplePos x="0" y="0"/>
            <wp:positionH relativeFrom="margin">
              <wp:posOffset>-12065</wp:posOffset>
            </wp:positionH>
            <wp:positionV relativeFrom="paragraph">
              <wp:posOffset>174625</wp:posOffset>
            </wp:positionV>
            <wp:extent cx="5364480" cy="3968750"/>
            <wp:effectExtent l="0" t="0" r="0" b="0"/>
            <wp:wrapNone/>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5B0EAF5E" w14:textId="77777777" w:rsidR="00B764FC" w:rsidRDefault="00B764FC">
      <w:pPr>
        <w:pStyle w:val="Caption"/>
      </w:pPr>
    </w:p>
    <w:p w14:paraId="5D6A8A41" w14:textId="77777777" w:rsidR="00B764FC" w:rsidRDefault="00B764FC">
      <w:pPr>
        <w:pStyle w:val="Caption"/>
      </w:pPr>
    </w:p>
    <w:p w14:paraId="5B46C909" w14:textId="77777777" w:rsidR="00B764FC" w:rsidRDefault="00B764FC">
      <w:pPr>
        <w:pStyle w:val="Caption"/>
      </w:pPr>
    </w:p>
    <w:p w14:paraId="459B4DEA" w14:textId="77777777" w:rsidR="00B764FC" w:rsidRDefault="00B764FC">
      <w:pPr>
        <w:pStyle w:val="Caption"/>
      </w:pPr>
    </w:p>
    <w:p w14:paraId="7208D635" w14:textId="77777777" w:rsidR="00B764FC" w:rsidRDefault="00B764FC"/>
    <w:p w14:paraId="580EA50A" w14:textId="77777777" w:rsidR="00B764FC" w:rsidRDefault="00B764FC"/>
    <w:p w14:paraId="44DE5F27" w14:textId="77777777" w:rsidR="00B764FC" w:rsidRDefault="00B764FC"/>
    <w:p w14:paraId="21F531F0" w14:textId="77777777" w:rsidR="00B764FC" w:rsidRDefault="00B764FC"/>
    <w:p w14:paraId="568984B3" w14:textId="77777777" w:rsidR="00B764FC" w:rsidRDefault="00B764FC"/>
    <w:p w14:paraId="74B4AFED" w14:textId="77777777" w:rsidR="00B764FC" w:rsidRDefault="00B764FC"/>
    <w:p w14:paraId="52CDFC53" w14:textId="77777777" w:rsidR="00B764FC" w:rsidRDefault="00B764FC"/>
    <w:p w14:paraId="4355E547" w14:textId="77777777" w:rsidR="00B764FC" w:rsidRDefault="00B764FC"/>
    <w:p w14:paraId="5149A890" w14:textId="77777777" w:rsidR="00B764FC" w:rsidRDefault="00B764FC"/>
    <w:p w14:paraId="11D47900" w14:textId="77777777" w:rsidR="00B764FC" w:rsidRDefault="00B764FC"/>
    <w:p w14:paraId="1F32C2EE" w14:textId="77777777" w:rsidR="00B764FC" w:rsidRDefault="00B764FC"/>
    <w:p w14:paraId="796CD456" w14:textId="77777777" w:rsidR="00B764FC" w:rsidRDefault="00B764FC"/>
    <w:p w14:paraId="5F1AEA11" w14:textId="77777777" w:rsidR="00B764FC" w:rsidRDefault="00B764FC"/>
    <w:p w14:paraId="26926DB6" w14:textId="77777777" w:rsidR="00B764FC" w:rsidRDefault="00B764FC">
      <w:pPr>
        <w:pStyle w:val="Caption"/>
        <w:rPr>
          <w:b/>
          <w:bCs/>
        </w:rPr>
      </w:pPr>
    </w:p>
    <w:p w14:paraId="5A87A94B" w14:textId="77777777" w:rsidR="00B764FC" w:rsidRDefault="00B764FC">
      <w:pPr>
        <w:pStyle w:val="Caption"/>
        <w:rPr>
          <w:b/>
          <w:bCs/>
        </w:rPr>
      </w:pPr>
    </w:p>
    <w:p w14:paraId="21769BB5" w14:textId="33BF0886" w:rsidR="00B764FC" w:rsidRDefault="00B764FC">
      <w:pPr>
        <w:pStyle w:val="Caption"/>
        <w:rPr>
          <w:b/>
          <w:bCs/>
        </w:rPr>
      </w:pPr>
      <w:bookmarkStart w:id="45" w:name="_Toc22120090"/>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3</w:t>
      </w:r>
      <w:r w:rsidR="00FF5CA4">
        <w:rPr>
          <w:b/>
          <w:bCs/>
        </w:rPr>
        <w:fldChar w:fldCharType="end"/>
      </w:r>
      <w:bookmarkEnd w:id="43"/>
      <w:r>
        <w:rPr>
          <w:b/>
          <w:bCs/>
        </w:rPr>
        <w:t>: Median Rents – 2011 - 2</w:t>
      </w:r>
      <w:bookmarkEnd w:id="44"/>
      <w:r>
        <w:rPr>
          <w:b/>
          <w:bCs/>
        </w:rPr>
        <w:t>016</w:t>
      </w:r>
      <w:bookmarkEnd w:id="45"/>
    </w:p>
    <w:p w14:paraId="5E403316" w14:textId="77777777" w:rsidR="00B764FC" w:rsidRDefault="00B764FC">
      <w:pPr>
        <w:pStyle w:val="TF"/>
        <w:rPr>
          <w:lang w:val="en-US"/>
        </w:rPr>
      </w:pPr>
      <w:r>
        <w:rPr>
          <w:i/>
          <w:iCs/>
          <w:sz w:val="20"/>
          <w:szCs w:val="20"/>
          <w:lang w:val="en-US"/>
        </w:rPr>
        <w:t>Source</w:t>
      </w:r>
      <w:r>
        <w:rPr>
          <w:lang w:val="en-US"/>
        </w:rPr>
        <w:t>:</w:t>
      </w:r>
      <w:r>
        <w:rPr>
          <w:lang w:val="en-US"/>
        </w:rPr>
        <w:tab/>
        <w:t>ABS, 2016</w:t>
      </w:r>
    </w:p>
    <w:p w14:paraId="5FF4C601" w14:textId="77777777" w:rsidR="00B764FC" w:rsidRDefault="00B764FC">
      <w:pPr>
        <w:spacing w:before="240" w:line="276" w:lineRule="auto"/>
        <w:jc w:val="both"/>
        <w:rPr>
          <w:sz w:val="22"/>
          <w:szCs w:val="22"/>
        </w:rPr>
      </w:pPr>
      <w:r>
        <w:rPr>
          <w:b/>
          <w:bCs/>
          <w:sz w:val="22"/>
          <w:szCs w:val="22"/>
        </w:rPr>
        <w:t>Significant increases in median rents</w:t>
      </w:r>
      <w:r>
        <w:rPr>
          <w:sz w:val="22"/>
          <w:szCs w:val="22"/>
        </w:rPr>
        <w:t xml:space="preserve"> were evident in Area 1, Area 5, Area 7, and Area 14.  In some suburbs, rental increases were higher than those indicated in Figure 17, for example median rents in Waurn Ponds increased from $220 to $395 per week over the 5 year period.</w:t>
      </w:r>
    </w:p>
    <w:p w14:paraId="4C5D0D99" w14:textId="77777777" w:rsidR="00B764FC" w:rsidRDefault="00B764FC">
      <w:pPr>
        <w:spacing w:before="240" w:after="240" w:line="276" w:lineRule="auto"/>
        <w:jc w:val="both"/>
        <w:rPr>
          <w:sz w:val="22"/>
          <w:szCs w:val="22"/>
        </w:rPr>
      </w:pPr>
      <w:r>
        <w:rPr>
          <w:sz w:val="22"/>
          <w:szCs w:val="22"/>
        </w:rPr>
        <w:t>The following Figure shows the longer term increases in median rents for Geelong, for different sized dwellings.</w:t>
      </w:r>
    </w:p>
    <w:p w14:paraId="28DF7C60" w14:textId="77777777" w:rsidR="00B764FC" w:rsidRDefault="00A92396">
      <w:pPr>
        <w:spacing w:line="276" w:lineRule="auto"/>
        <w:jc w:val="both"/>
      </w:pPr>
      <w:r>
        <w:rPr>
          <w:noProof/>
          <w:sz w:val="20"/>
          <w:szCs w:val="20"/>
          <w:lang w:eastAsia="en-AU"/>
        </w:rPr>
        <w:lastRenderedPageBreak/>
        <w:drawing>
          <wp:inline distT="0" distB="0" distL="0" distR="0" wp14:anchorId="29493BF8" wp14:editId="798E540F">
            <wp:extent cx="4810125" cy="4086225"/>
            <wp:effectExtent l="0" t="0" r="0" b="0"/>
            <wp:docPr id="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B347E4" w14:textId="77777777" w:rsidR="00B764FC" w:rsidRDefault="00B764FC">
      <w:pPr>
        <w:pStyle w:val="BodyText"/>
        <w:keepNext/>
      </w:pPr>
    </w:p>
    <w:p w14:paraId="18D9C794" w14:textId="0836C418" w:rsidR="00B764FC" w:rsidRDefault="00B764FC">
      <w:pPr>
        <w:pStyle w:val="Caption"/>
        <w:rPr>
          <w:b/>
          <w:bCs/>
        </w:rPr>
      </w:pPr>
      <w:bookmarkStart w:id="46" w:name="_Toc22120091"/>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4</w:t>
      </w:r>
      <w:r w:rsidR="00FF5CA4">
        <w:rPr>
          <w:b/>
          <w:bCs/>
        </w:rPr>
        <w:fldChar w:fldCharType="end"/>
      </w:r>
      <w:r>
        <w:rPr>
          <w:b/>
          <w:bCs/>
        </w:rPr>
        <w:t>: Median Rental Payments 2000 - 2018</w:t>
      </w:r>
      <w:bookmarkEnd w:id="46"/>
    </w:p>
    <w:p w14:paraId="75CA32C2" w14:textId="77777777" w:rsidR="00B764FC" w:rsidRDefault="00B764FC">
      <w:pPr>
        <w:spacing w:after="240" w:line="276" w:lineRule="auto"/>
        <w:ind w:left="-142"/>
        <w:jc w:val="both"/>
        <w:rPr>
          <w:b/>
          <w:bCs/>
          <w:sz w:val="22"/>
          <w:szCs w:val="22"/>
        </w:rPr>
      </w:pPr>
      <w:r>
        <w:rPr>
          <w:b/>
          <w:bCs/>
          <w:sz w:val="22"/>
          <w:szCs w:val="22"/>
        </w:rPr>
        <w:t>Median incomes</w:t>
      </w:r>
    </w:p>
    <w:p w14:paraId="690A2CF1" w14:textId="77777777" w:rsidR="00B764FC" w:rsidRDefault="00B764FC">
      <w:pPr>
        <w:spacing w:after="240" w:line="276" w:lineRule="auto"/>
        <w:ind w:left="-142"/>
        <w:jc w:val="both"/>
        <w:rPr>
          <w:sz w:val="22"/>
          <w:szCs w:val="22"/>
        </w:rPr>
      </w:pPr>
      <w:r>
        <w:rPr>
          <w:sz w:val="22"/>
          <w:szCs w:val="22"/>
        </w:rPr>
        <w:t>In 2016 low income households represented 21% of all Geelong households, compared to Melbourne where low income households were 17% of total households.</w:t>
      </w:r>
    </w:p>
    <w:p w14:paraId="466B0C1E" w14:textId="77777777" w:rsidR="00B764FC" w:rsidRDefault="00B764FC">
      <w:pPr>
        <w:spacing w:after="240" w:line="276" w:lineRule="auto"/>
        <w:ind w:left="-142"/>
        <w:jc w:val="both"/>
        <w:rPr>
          <w:sz w:val="22"/>
          <w:szCs w:val="22"/>
        </w:rPr>
      </w:pPr>
      <w:r>
        <w:rPr>
          <w:sz w:val="22"/>
          <w:szCs w:val="22"/>
        </w:rPr>
        <w:t>Over the 5-year period 2011 to 2016, median incomes increased from $1,048 to $1,242 per week (i.e. by 18.5%). A significant number of low-income households in Geelong are in receipt of government income support, as shown below.</w:t>
      </w:r>
    </w:p>
    <w:p w14:paraId="13BCAA53" w14:textId="3756A8F7" w:rsidR="00B764FC" w:rsidRDefault="00B764FC">
      <w:pPr>
        <w:pStyle w:val="Caption"/>
        <w:rPr>
          <w:b/>
          <w:bCs/>
        </w:rPr>
      </w:pPr>
      <w:bookmarkStart w:id="47" w:name="_Toc22120041"/>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6</w:t>
      </w:r>
      <w:r w:rsidR="00FF5CA4">
        <w:rPr>
          <w:b/>
          <w:bCs/>
        </w:rPr>
        <w:fldChar w:fldCharType="end"/>
      </w:r>
      <w:r>
        <w:rPr>
          <w:b/>
          <w:bCs/>
        </w:rPr>
        <w:t>:</w:t>
      </w:r>
      <w:r>
        <w:rPr>
          <w:b/>
          <w:bCs/>
        </w:rPr>
        <w:tab/>
        <w:t>Income support recipients – 2018</w:t>
      </w:r>
      <w:bookmarkEnd w:id="47"/>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998"/>
        <w:gridCol w:w="3216"/>
      </w:tblGrid>
      <w:tr w:rsidR="00B764FC" w14:paraId="2F67DF1C" w14:textId="77777777">
        <w:tc>
          <w:tcPr>
            <w:tcW w:w="5998" w:type="dxa"/>
            <w:tcBorders>
              <w:left w:val="nil"/>
              <w:right w:val="nil"/>
            </w:tcBorders>
            <w:shd w:val="clear" w:color="auto" w:fill="808080"/>
          </w:tcPr>
          <w:p w14:paraId="47DEFA4F" w14:textId="77777777" w:rsidR="00B764FC" w:rsidRDefault="00B764FC">
            <w:pPr>
              <w:spacing w:before="60"/>
              <w:ind w:firstLine="142"/>
              <w:rPr>
                <w:b/>
                <w:bCs/>
                <w:color w:val="FFFFFF"/>
                <w:sz w:val="20"/>
                <w:szCs w:val="20"/>
              </w:rPr>
            </w:pPr>
            <w:r>
              <w:rPr>
                <w:b/>
                <w:bCs/>
                <w:color w:val="FFFFFF"/>
                <w:sz w:val="20"/>
                <w:szCs w:val="20"/>
              </w:rPr>
              <w:t>Recipients of:</w:t>
            </w:r>
          </w:p>
        </w:tc>
        <w:tc>
          <w:tcPr>
            <w:tcW w:w="3216" w:type="dxa"/>
            <w:tcBorders>
              <w:left w:val="nil"/>
              <w:right w:val="nil"/>
            </w:tcBorders>
            <w:shd w:val="clear" w:color="auto" w:fill="808080"/>
          </w:tcPr>
          <w:p w14:paraId="50357F77" w14:textId="77777777" w:rsidR="00B764FC" w:rsidRDefault="00B764FC">
            <w:pPr>
              <w:spacing w:before="60"/>
              <w:ind w:right="176" w:firstLine="142"/>
              <w:jc w:val="right"/>
              <w:rPr>
                <w:b/>
                <w:bCs/>
                <w:color w:val="FFFFFF"/>
                <w:sz w:val="20"/>
                <w:szCs w:val="20"/>
              </w:rPr>
            </w:pPr>
            <w:r>
              <w:rPr>
                <w:b/>
                <w:bCs/>
                <w:color w:val="FFFFFF"/>
                <w:sz w:val="20"/>
                <w:szCs w:val="20"/>
              </w:rPr>
              <w:t>No. (2018)</w:t>
            </w:r>
          </w:p>
        </w:tc>
      </w:tr>
      <w:tr w:rsidR="00B764FC" w14:paraId="1A06E93C" w14:textId="77777777">
        <w:tc>
          <w:tcPr>
            <w:tcW w:w="5998" w:type="dxa"/>
            <w:tcBorders>
              <w:left w:val="nil"/>
              <w:right w:val="nil"/>
            </w:tcBorders>
          </w:tcPr>
          <w:p w14:paraId="3EE6F7B5" w14:textId="77777777" w:rsidR="00B764FC" w:rsidRDefault="00B764FC">
            <w:pPr>
              <w:spacing w:before="60"/>
              <w:ind w:firstLine="142"/>
              <w:rPr>
                <w:sz w:val="20"/>
                <w:szCs w:val="20"/>
              </w:rPr>
            </w:pPr>
            <w:r>
              <w:rPr>
                <w:sz w:val="20"/>
                <w:szCs w:val="20"/>
              </w:rPr>
              <w:t>Commonwealth Rent Assistance</w:t>
            </w:r>
          </w:p>
        </w:tc>
        <w:tc>
          <w:tcPr>
            <w:tcW w:w="3216" w:type="dxa"/>
            <w:tcBorders>
              <w:left w:val="nil"/>
              <w:right w:val="nil"/>
            </w:tcBorders>
          </w:tcPr>
          <w:p w14:paraId="3DB9BFFC" w14:textId="77777777" w:rsidR="00B764FC" w:rsidRDefault="00B764FC">
            <w:pPr>
              <w:spacing w:before="60"/>
              <w:ind w:right="176" w:firstLine="142"/>
              <w:jc w:val="right"/>
              <w:rPr>
                <w:sz w:val="20"/>
                <w:szCs w:val="20"/>
              </w:rPr>
            </w:pPr>
            <w:r>
              <w:rPr>
                <w:sz w:val="20"/>
                <w:szCs w:val="20"/>
              </w:rPr>
              <w:t>15,166</w:t>
            </w:r>
          </w:p>
        </w:tc>
      </w:tr>
      <w:tr w:rsidR="00B764FC" w14:paraId="4B19C6E1" w14:textId="77777777">
        <w:tc>
          <w:tcPr>
            <w:tcW w:w="5998" w:type="dxa"/>
            <w:tcBorders>
              <w:left w:val="nil"/>
              <w:right w:val="nil"/>
            </w:tcBorders>
            <w:shd w:val="clear" w:color="auto" w:fill="FFFFFF"/>
          </w:tcPr>
          <w:p w14:paraId="162E6F9A" w14:textId="77777777" w:rsidR="00B764FC" w:rsidRDefault="00B764FC">
            <w:pPr>
              <w:spacing w:before="60"/>
              <w:ind w:firstLine="142"/>
              <w:rPr>
                <w:sz w:val="20"/>
                <w:szCs w:val="20"/>
              </w:rPr>
            </w:pPr>
            <w:r>
              <w:rPr>
                <w:sz w:val="20"/>
                <w:szCs w:val="20"/>
              </w:rPr>
              <w:t>Youth Allowance</w:t>
            </w:r>
          </w:p>
        </w:tc>
        <w:tc>
          <w:tcPr>
            <w:tcW w:w="3216" w:type="dxa"/>
            <w:tcBorders>
              <w:left w:val="nil"/>
              <w:right w:val="nil"/>
            </w:tcBorders>
            <w:shd w:val="clear" w:color="auto" w:fill="FFFFFF"/>
          </w:tcPr>
          <w:p w14:paraId="0E7C2165" w14:textId="77777777" w:rsidR="00B764FC" w:rsidRDefault="00B764FC">
            <w:pPr>
              <w:spacing w:before="60"/>
              <w:ind w:right="176" w:firstLine="142"/>
              <w:jc w:val="right"/>
              <w:rPr>
                <w:sz w:val="20"/>
                <w:szCs w:val="20"/>
              </w:rPr>
            </w:pPr>
            <w:r>
              <w:rPr>
                <w:sz w:val="20"/>
                <w:szCs w:val="20"/>
              </w:rPr>
              <w:t>4,000</w:t>
            </w:r>
          </w:p>
        </w:tc>
      </w:tr>
      <w:tr w:rsidR="00B764FC" w14:paraId="6E35922F" w14:textId="77777777">
        <w:tc>
          <w:tcPr>
            <w:tcW w:w="5998" w:type="dxa"/>
            <w:tcBorders>
              <w:left w:val="nil"/>
              <w:right w:val="nil"/>
            </w:tcBorders>
          </w:tcPr>
          <w:p w14:paraId="36EF7F81" w14:textId="77777777" w:rsidR="00B764FC" w:rsidRDefault="00B764FC">
            <w:pPr>
              <w:spacing w:before="60"/>
              <w:ind w:firstLine="142"/>
              <w:rPr>
                <w:sz w:val="20"/>
                <w:szCs w:val="20"/>
              </w:rPr>
            </w:pPr>
            <w:bookmarkStart w:id="48" w:name="_Toc4418807"/>
            <w:bookmarkStart w:id="49" w:name="_Toc4508311"/>
            <w:r>
              <w:rPr>
                <w:sz w:val="20"/>
                <w:szCs w:val="20"/>
              </w:rPr>
              <w:t xml:space="preserve">Parenting Payment Single </w:t>
            </w:r>
          </w:p>
        </w:tc>
        <w:tc>
          <w:tcPr>
            <w:tcW w:w="3216" w:type="dxa"/>
            <w:tcBorders>
              <w:left w:val="nil"/>
              <w:right w:val="nil"/>
            </w:tcBorders>
          </w:tcPr>
          <w:p w14:paraId="1CFB4292" w14:textId="77777777" w:rsidR="00B764FC" w:rsidRDefault="00B764FC">
            <w:pPr>
              <w:spacing w:before="60"/>
              <w:ind w:right="176" w:firstLine="142"/>
              <w:jc w:val="right"/>
              <w:rPr>
                <w:sz w:val="20"/>
                <w:szCs w:val="20"/>
              </w:rPr>
            </w:pPr>
            <w:r>
              <w:rPr>
                <w:sz w:val="20"/>
                <w:szCs w:val="20"/>
              </w:rPr>
              <w:t>2,600</w:t>
            </w:r>
          </w:p>
        </w:tc>
      </w:tr>
      <w:tr w:rsidR="00B764FC" w14:paraId="1CFA5DFD" w14:textId="77777777">
        <w:tc>
          <w:tcPr>
            <w:tcW w:w="5998" w:type="dxa"/>
            <w:tcBorders>
              <w:left w:val="nil"/>
              <w:right w:val="nil"/>
            </w:tcBorders>
            <w:shd w:val="clear" w:color="auto" w:fill="FFFFFF"/>
          </w:tcPr>
          <w:p w14:paraId="1836094A" w14:textId="77777777" w:rsidR="00B764FC" w:rsidRDefault="00B764FC">
            <w:pPr>
              <w:spacing w:before="60"/>
              <w:ind w:firstLine="142"/>
              <w:rPr>
                <w:sz w:val="20"/>
                <w:szCs w:val="20"/>
              </w:rPr>
            </w:pPr>
            <w:r>
              <w:rPr>
                <w:sz w:val="20"/>
                <w:szCs w:val="20"/>
              </w:rPr>
              <w:t>Family Tax Benefit B</w:t>
            </w:r>
          </w:p>
        </w:tc>
        <w:bookmarkEnd w:id="48"/>
        <w:bookmarkEnd w:id="49"/>
        <w:tc>
          <w:tcPr>
            <w:tcW w:w="3216" w:type="dxa"/>
            <w:tcBorders>
              <w:left w:val="nil"/>
              <w:right w:val="nil"/>
            </w:tcBorders>
            <w:shd w:val="clear" w:color="auto" w:fill="FFFFFF"/>
          </w:tcPr>
          <w:p w14:paraId="6C0F2B3B" w14:textId="77777777" w:rsidR="00B764FC" w:rsidRDefault="00B764FC">
            <w:pPr>
              <w:spacing w:before="60"/>
              <w:ind w:right="176" w:firstLine="142"/>
              <w:jc w:val="right"/>
              <w:rPr>
                <w:sz w:val="20"/>
                <w:szCs w:val="20"/>
              </w:rPr>
            </w:pPr>
            <w:r>
              <w:rPr>
                <w:sz w:val="20"/>
                <w:szCs w:val="20"/>
              </w:rPr>
              <w:t>11,284</w:t>
            </w:r>
          </w:p>
        </w:tc>
      </w:tr>
      <w:tr w:rsidR="00B764FC" w14:paraId="1F93A5DB" w14:textId="77777777">
        <w:tc>
          <w:tcPr>
            <w:tcW w:w="5998" w:type="dxa"/>
            <w:tcBorders>
              <w:left w:val="nil"/>
              <w:right w:val="nil"/>
            </w:tcBorders>
          </w:tcPr>
          <w:p w14:paraId="4BF46796" w14:textId="77777777" w:rsidR="00B764FC" w:rsidRDefault="00B764FC">
            <w:pPr>
              <w:spacing w:before="60"/>
              <w:ind w:firstLine="142"/>
              <w:rPr>
                <w:sz w:val="20"/>
                <w:szCs w:val="20"/>
              </w:rPr>
            </w:pPr>
            <w:bookmarkStart w:id="50" w:name="_Toc4418808"/>
            <w:bookmarkStart w:id="51" w:name="_Toc4508312"/>
            <w:r>
              <w:rPr>
                <w:sz w:val="20"/>
                <w:szCs w:val="20"/>
              </w:rPr>
              <w:t>Age Pension</w:t>
            </w:r>
          </w:p>
        </w:tc>
        <w:tc>
          <w:tcPr>
            <w:tcW w:w="3216" w:type="dxa"/>
            <w:tcBorders>
              <w:left w:val="nil"/>
              <w:right w:val="nil"/>
            </w:tcBorders>
          </w:tcPr>
          <w:p w14:paraId="7A36B390" w14:textId="77777777" w:rsidR="00B764FC" w:rsidRDefault="00B764FC">
            <w:pPr>
              <w:spacing w:before="60"/>
              <w:ind w:right="176" w:firstLine="142"/>
              <w:jc w:val="right"/>
              <w:rPr>
                <w:sz w:val="20"/>
                <w:szCs w:val="20"/>
              </w:rPr>
            </w:pPr>
            <w:r>
              <w:rPr>
                <w:sz w:val="20"/>
                <w:szCs w:val="20"/>
              </w:rPr>
              <w:t>29,000</w:t>
            </w:r>
          </w:p>
        </w:tc>
      </w:tr>
      <w:tr w:rsidR="00B764FC" w14:paraId="58C40B0D" w14:textId="77777777">
        <w:tc>
          <w:tcPr>
            <w:tcW w:w="5998" w:type="dxa"/>
            <w:tcBorders>
              <w:left w:val="nil"/>
              <w:right w:val="nil"/>
            </w:tcBorders>
            <w:shd w:val="clear" w:color="auto" w:fill="FFFFFF"/>
          </w:tcPr>
          <w:p w14:paraId="7E4E96D9" w14:textId="77777777" w:rsidR="00B764FC" w:rsidRDefault="00B764FC">
            <w:pPr>
              <w:spacing w:before="60"/>
              <w:ind w:firstLine="142"/>
              <w:rPr>
                <w:sz w:val="20"/>
                <w:szCs w:val="20"/>
              </w:rPr>
            </w:pPr>
            <w:r>
              <w:rPr>
                <w:sz w:val="20"/>
                <w:szCs w:val="20"/>
              </w:rPr>
              <w:t>Disability Pension</w:t>
            </w:r>
          </w:p>
        </w:tc>
        <w:bookmarkEnd w:id="50"/>
        <w:bookmarkEnd w:id="51"/>
        <w:tc>
          <w:tcPr>
            <w:tcW w:w="3216" w:type="dxa"/>
            <w:tcBorders>
              <w:left w:val="nil"/>
              <w:right w:val="nil"/>
            </w:tcBorders>
            <w:shd w:val="clear" w:color="auto" w:fill="FFFFFF"/>
          </w:tcPr>
          <w:p w14:paraId="27FE104C" w14:textId="77777777" w:rsidR="00B764FC" w:rsidRDefault="00B764FC">
            <w:pPr>
              <w:spacing w:before="60"/>
              <w:ind w:right="176" w:firstLine="142"/>
              <w:jc w:val="right"/>
              <w:rPr>
                <w:sz w:val="20"/>
                <w:szCs w:val="20"/>
              </w:rPr>
            </w:pPr>
            <w:r>
              <w:rPr>
                <w:sz w:val="20"/>
                <w:szCs w:val="20"/>
              </w:rPr>
              <w:t>9,000</w:t>
            </w:r>
          </w:p>
        </w:tc>
      </w:tr>
      <w:tr w:rsidR="00B764FC" w14:paraId="4CC2506F" w14:textId="77777777">
        <w:tc>
          <w:tcPr>
            <w:tcW w:w="5998" w:type="dxa"/>
            <w:tcBorders>
              <w:left w:val="nil"/>
              <w:right w:val="nil"/>
            </w:tcBorders>
          </w:tcPr>
          <w:p w14:paraId="73E8CA96" w14:textId="77777777" w:rsidR="00B764FC" w:rsidRDefault="00B764FC">
            <w:pPr>
              <w:spacing w:before="60"/>
              <w:ind w:firstLine="142"/>
              <w:rPr>
                <w:sz w:val="20"/>
                <w:szCs w:val="20"/>
              </w:rPr>
            </w:pPr>
            <w:r>
              <w:rPr>
                <w:sz w:val="20"/>
                <w:szCs w:val="20"/>
              </w:rPr>
              <w:t>Newstart</w:t>
            </w:r>
          </w:p>
        </w:tc>
        <w:tc>
          <w:tcPr>
            <w:tcW w:w="3216" w:type="dxa"/>
            <w:tcBorders>
              <w:left w:val="nil"/>
              <w:right w:val="nil"/>
            </w:tcBorders>
          </w:tcPr>
          <w:p w14:paraId="44B0C6AA" w14:textId="77777777" w:rsidR="00B764FC" w:rsidRDefault="00B764FC">
            <w:pPr>
              <w:spacing w:before="60"/>
              <w:ind w:right="176" w:firstLine="142"/>
              <w:jc w:val="right"/>
              <w:rPr>
                <w:sz w:val="20"/>
                <w:szCs w:val="20"/>
              </w:rPr>
            </w:pPr>
            <w:r>
              <w:rPr>
                <w:sz w:val="20"/>
                <w:szCs w:val="20"/>
              </w:rPr>
              <w:t>8,000</w:t>
            </w:r>
          </w:p>
        </w:tc>
      </w:tr>
    </w:tbl>
    <w:p w14:paraId="559482A5" w14:textId="77777777" w:rsidR="00B764FC" w:rsidRDefault="00B764FC">
      <w:pPr>
        <w:pStyle w:val="TF"/>
        <w:rPr>
          <w:sz w:val="20"/>
          <w:szCs w:val="20"/>
        </w:rPr>
      </w:pPr>
      <w:r>
        <w:rPr>
          <w:i/>
          <w:iCs/>
          <w:sz w:val="20"/>
          <w:szCs w:val="20"/>
        </w:rPr>
        <w:t>Source</w:t>
      </w:r>
      <w:r>
        <w:rPr>
          <w:sz w:val="20"/>
          <w:szCs w:val="20"/>
        </w:rPr>
        <w:t>:</w:t>
      </w:r>
      <w:r>
        <w:rPr>
          <w:sz w:val="20"/>
          <w:szCs w:val="20"/>
        </w:rPr>
        <w:tab/>
        <w:t>www.socialstatistics.com</w:t>
      </w:r>
    </w:p>
    <w:p w14:paraId="3D64E95B" w14:textId="77777777" w:rsidR="00B764FC" w:rsidRDefault="00B764FC">
      <w:pPr>
        <w:spacing w:line="276" w:lineRule="auto"/>
        <w:ind w:left="1134"/>
        <w:rPr>
          <w:i/>
          <w:iCs/>
          <w:lang w:val="en-US"/>
        </w:rPr>
      </w:pPr>
    </w:p>
    <w:p w14:paraId="635913BC" w14:textId="77777777" w:rsidR="00B764FC" w:rsidRDefault="00B764FC">
      <w:pPr>
        <w:spacing w:after="240" w:line="276" w:lineRule="auto"/>
        <w:jc w:val="both"/>
        <w:rPr>
          <w:b/>
          <w:bCs/>
          <w:sz w:val="22"/>
          <w:szCs w:val="22"/>
          <w:lang w:val="en-US"/>
        </w:rPr>
      </w:pPr>
      <w:r>
        <w:rPr>
          <w:b/>
          <w:bCs/>
          <w:sz w:val="22"/>
          <w:szCs w:val="22"/>
          <w:lang w:val="en-US"/>
        </w:rPr>
        <w:lastRenderedPageBreak/>
        <w:t>Cost of houses, apartments and vacant blocks</w:t>
      </w:r>
    </w:p>
    <w:p w14:paraId="6B56FEAB" w14:textId="77777777" w:rsidR="00B764FC" w:rsidRDefault="00B764FC">
      <w:pPr>
        <w:spacing w:line="276" w:lineRule="auto"/>
        <w:jc w:val="both"/>
        <w:rPr>
          <w:sz w:val="22"/>
          <w:szCs w:val="22"/>
          <w:lang w:val="en-US"/>
        </w:rPr>
      </w:pPr>
      <w:r>
        <w:rPr>
          <w:sz w:val="22"/>
          <w:szCs w:val="22"/>
          <w:lang w:val="en-US"/>
        </w:rPr>
        <w:t xml:space="preserve">The reduction in private rental affordability has been underpinned by </w:t>
      </w:r>
      <w:r>
        <w:rPr>
          <w:b/>
          <w:bCs/>
          <w:sz w:val="22"/>
          <w:szCs w:val="22"/>
          <w:lang w:val="en-US"/>
        </w:rPr>
        <w:t>significant increases in median prices for houses, apartments, and vacant house blocks</w:t>
      </w:r>
      <w:r>
        <w:rPr>
          <w:sz w:val="22"/>
          <w:szCs w:val="22"/>
          <w:lang w:val="en-US"/>
        </w:rPr>
        <w:t xml:space="preserve"> over the last 15 years.</w:t>
      </w:r>
    </w:p>
    <w:p w14:paraId="0374CB21" w14:textId="77777777" w:rsidR="00B764FC" w:rsidRDefault="00A92396">
      <w:pPr>
        <w:spacing w:before="240" w:after="240"/>
        <w:ind w:left="567"/>
        <w:rPr>
          <w:lang w:val="en-US"/>
        </w:rPr>
      </w:pPr>
      <w:r>
        <w:rPr>
          <w:noProof/>
          <w:lang w:eastAsia="en-AU"/>
        </w:rPr>
        <w:drawing>
          <wp:anchor distT="0" distB="2087" distL="114300" distR="114300" simplePos="0" relativeHeight="251653632" behindDoc="0" locked="0" layoutInCell="0" allowOverlap="1" wp14:anchorId="643BC1C7" wp14:editId="6385D2B9">
            <wp:simplePos x="0" y="0"/>
            <wp:positionH relativeFrom="column">
              <wp:posOffset>52070</wp:posOffset>
            </wp:positionH>
            <wp:positionV relativeFrom="paragraph">
              <wp:posOffset>379730</wp:posOffset>
            </wp:positionV>
            <wp:extent cx="5506720" cy="3314700"/>
            <wp:effectExtent l="19050" t="0" r="0" b="0"/>
            <wp:wrapNone/>
            <wp:docPr id="1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srcRect/>
                    <a:stretch>
                      <a:fillRect/>
                    </a:stretch>
                  </pic:blipFill>
                  <pic:spPr bwMode="auto">
                    <a:xfrm>
                      <a:off x="0" y="0"/>
                      <a:ext cx="5506720" cy="3314700"/>
                    </a:xfrm>
                    <a:prstGeom prst="rect">
                      <a:avLst/>
                    </a:prstGeom>
                    <a:noFill/>
                  </pic:spPr>
                </pic:pic>
              </a:graphicData>
            </a:graphic>
          </wp:anchor>
        </w:drawing>
      </w:r>
    </w:p>
    <w:p w14:paraId="32A15EC5" w14:textId="11252D50" w:rsidR="00B764FC" w:rsidRDefault="00EB3FE0">
      <w:pPr>
        <w:spacing w:before="240" w:after="240"/>
        <w:ind w:left="567"/>
        <w:rPr>
          <w:lang w:val="en-US"/>
        </w:rPr>
      </w:pPr>
      <w:r>
        <w:rPr>
          <w:noProof/>
          <w:lang w:eastAsia="en-AU"/>
        </w:rPr>
        <mc:AlternateContent>
          <mc:Choice Requires="wps">
            <w:drawing>
              <wp:anchor distT="0" distB="0" distL="114300" distR="114300" simplePos="0" relativeHeight="251655680" behindDoc="0" locked="0" layoutInCell="0" allowOverlap="1" wp14:anchorId="1FF1DE79" wp14:editId="0E98A601">
                <wp:simplePos x="0" y="0"/>
                <wp:positionH relativeFrom="column">
                  <wp:posOffset>814070</wp:posOffset>
                </wp:positionH>
                <wp:positionV relativeFrom="paragraph">
                  <wp:posOffset>3289935</wp:posOffset>
                </wp:positionV>
                <wp:extent cx="5346700" cy="635"/>
                <wp:effectExtent l="0" t="0" r="0" b="2540"/>
                <wp:wrapNone/>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0D377" w14:textId="7A2733F3" w:rsidR="00944200" w:rsidRDefault="00944200">
                            <w:pPr>
                              <w:pStyle w:val="Caption"/>
                              <w:rPr>
                                <w:noProof/>
                              </w:rPr>
                            </w:pPr>
                            <w:bookmarkStart w:id="52" w:name="_Toc22120092"/>
                            <w:r>
                              <w:t xml:space="preserve">Figure </w:t>
                            </w:r>
                            <w:r>
                              <w:rPr>
                                <w:noProof/>
                              </w:rPr>
                              <w:fldChar w:fldCharType="begin"/>
                            </w:r>
                            <w:r>
                              <w:rPr>
                                <w:noProof/>
                              </w:rPr>
                              <w:instrText xml:space="preserve"> SEQ Figure \* ARABIC </w:instrText>
                            </w:r>
                            <w:r>
                              <w:rPr>
                                <w:noProof/>
                              </w:rPr>
                              <w:fldChar w:fldCharType="separate"/>
                            </w:r>
                            <w:r w:rsidR="00BB479E">
                              <w:rPr>
                                <w:noProof/>
                              </w:rPr>
                              <w:t>5</w:t>
                            </w:r>
                            <w:r>
                              <w:rPr>
                                <w:noProof/>
                              </w:rPr>
                              <w:fldChar w:fldCharType="end"/>
                            </w:r>
                            <w:r>
                              <w:t xml:space="preserve">: </w:t>
                            </w:r>
                            <w:r>
                              <w:rPr>
                                <w:lang w:val="en-US"/>
                              </w:rPr>
                              <w:t>Median prices of houses, apartments, vacant house blocks - ($) 2000 - 2018</w:t>
                            </w:r>
                            <w:bookmarkEnd w:id="5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1DE79" id="Text Box 57" o:spid="_x0000_s1027" type="#_x0000_t202" style="position:absolute;left:0;text-align:left;margin-left:64.1pt;margin-top:259.05pt;width:421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nSfAIAAAU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" o:allowincell="f" stroked="f">
                <v:textbox inset="0,0,0,0">
                  <w:txbxContent>
                    <w:p w14:paraId="4AD0D377" w14:textId="7A2733F3" w:rsidR="00944200" w:rsidRDefault="00944200">
                      <w:pPr>
                        <w:pStyle w:val="Caption"/>
                        <w:rPr>
                          <w:noProof/>
                        </w:rPr>
                      </w:pPr>
                      <w:bookmarkStart w:id="53" w:name="_Toc22120092"/>
                      <w:r>
                        <w:t xml:space="preserve">Figure </w:t>
                      </w:r>
                      <w:r>
                        <w:rPr>
                          <w:noProof/>
                        </w:rPr>
                        <w:fldChar w:fldCharType="begin"/>
                      </w:r>
                      <w:r>
                        <w:rPr>
                          <w:noProof/>
                        </w:rPr>
                        <w:instrText xml:space="preserve"> SEQ Figure \* ARABIC </w:instrText>
                      </w:r>
                      <w:r>
                        <w:rPr>
                          <w:noProof/>
                        </w:rPr>
                        <w:fldChar w:fldCharType="separate"/>
                      </w:r>
                      <w:r w:rsidR="00BB479E">
                        <w:rPr>
                          <w:noProof/>
                        </w:rPr>
                        <w:t>5</w:t>
                      </w:r>
                      <w:r>
                        <w:rPr>
                          <w:noProof/>
                        </w:rPr>
                        <w:fldChar w:fldCharType="end"/>
                      </w:r>
                      <w:r>
                        <w:t xml:space="preserve">: </w:t>
                      </w:r>
                      <w:r>
                        <w:rPr>
                          <w:lang w:val="en-US"/>
                        </w:rPr>
                        <w:t>Median prices of houses, apartments, vacant house blocks - ($) 2000 - 2018</w:t>
                      </w:r>
                      <w:bookmarkEnd w:id="53"/>
                    </w:p>
                  </w:txbxContent>
                </v:textbox>
              </v:shape>
            </w:pict>
          </mc:Fallback>
        </mc:AlternateContent>
      </w:r>
    </w:p>
    <w:p w14:paraId="73BD84BA" w14:textId="77777777" w:rsidR="00B764FC" w:rsidRDefault="00B764FC">
      <w:pPr>
        <w:spacing w:before="240" w:after="240"/>
        <w:ind w:left="567"/>
        <w:rPr>
          <w:lang w:val="en-US"/>
        </w:rPr>
      </w:pPr>
    </w:p>
    <w:p w14:paraId="4899D99E" w14:textId="77777777" w:rsidR="00B764FC" w:rsidRDefault="00B764FC">
      <w:pPr>
        <w:spacing w:before="240" w:after="240"/>
        <w:ind w:left="567"/>
        <w:rPr>
          <w:lang w:val="en-US"/>
        </w:rPr>
      </w:pPr>
    </w:p>
    <w:p w14:paraId="513E5A97" w14:textId="77777777" w:rsidR="00B764FC" w:rsidRDefault="00B764FC">
      <w:pPr>
        <w:spacing w:before="240" w:after="240"/>
        <w:ind w:left="567"/>
        <w:rPr>
          <w:lang w:val="en-US"/>
        </w:rPr>
      </w:pPr>
    </w:p>
    <w:p w14:paraId="602624AD" w14:textId="77777777" w:rsidR="00B764FC" w:rsidRDefault="00B764FC">
      <w:pPr>
        <w:spacing w:before="240" w:after="240"/>
        <w:ind w:left="567"/>
        <w:rPr>
          <w:lang w:val="en-US"/>
        </w:rPr>
      </w:pPr>
    </w:p>
    <w:p w14:paraId="3259E82D" w14:textId="77777777" w:rsidR="00B764FC" w:rsidRDefault="00B764FC">
      <w:pPr>
        <w:spacing w:before="240" w:after="240"/>
        <w:ind w:left="567"/>
        <w:rPr>
          <w:lang w:val="en-US"/>
        </w:rPr>
      </w:pPr>
    </w:p>
    <w:p w14:paraId="3E2CCC55" w14:textId="77777777" w:rsidR="00B764FC" w:rsidRDefault="00B764FC">
      <w:pPr>
        <w:spacing w:before="240" w:after="240"/>
        <w:ind w:left="567"/>
        <w:rPr>
          <w:lang w:val="en-US"/>
        </w:rPr>
      </w:pPr>
    </w:p>
    <w:p w14:paraId="57A7A561" w14:textId="77777777" w:rsidR="00B764FC" w:rsidRDefault="00B764FC">
      <w:pPr>
        <w:spacing w:before="240" w:after="240"/>
        <w:ind w:left="567"/>
        <w:rPr>
          <w:lang w:val="en-US"/>
        </w:rPr>
      </w:pPr>
    </w:p>
    <w:p w14:paraId="55806589" w14:textId="77777777" w:rsidR="00B764FC" w:rsidRDefault="00B764FC">
      <w:pPr>
        <w:spacing w:before="240" w:after="240"/>
        <w:ind w:left="567"/>
        <w:rPr>
          <w:lang w:val="en-US"/>
        </w:rPr>
      </w:pPr>
    </w:p>
    <w:p w14:paraId="39C416CE" w14:textId="77777777" w:rsidR="00B764FC" w:rsidRDefault="00B764FC">
      <w:pPr>
        <w:spacing w:before="240" w:after="240"/>
        <w:ind w:left="567"/>
        <w:rPr>
          <w:lang w:val="en-US"/>
        </w:rPr>
      </w:pPr>
    </w:p>
    <w:p w14:paraId="32ABB51A" w14:textId="2475146A" w:rsidR="00B764FC" w:rsidRDefault="00B764FC">
      <w:pPr>
        <w:spacing w:after="60"/>
        <w:rPr>
          <w:b/>
          <w:bCs/>
          <w:noProof/>
          <w:color w:val="808080"/>
          <w:sz w:val="20"/>
          <w:szCs w:val="20"/>
        </w:rPr>
      </w:pPr>
      <w:bookmarkStart w:id="54" w:name="_Ref16070432"/>
      <w:bookmarkStart w:id="55" w:name="_Toc22120093"/>
      <w:r>
        <w:rPr>
          <w:b/>
          <w:bCs/>
          <w:color w:val="808080"/>
          <w:sz w:val="20"/>
          <w:szCs w:val="20"/>
        </w:rPr>
        <w:t xml:space="preserve">Figure </w:t>
      </w:r>
      <w:r w:rsidR="00FF5CA4">
        <w:rPr>
          <w:b/>
          <w:bCs/>
          <w:color w:val="808080"/>
          <w:sz w:val="20"/>
          <w:szCs w:val="20"/>
        </w:rPr>
        <w:fldChar w:fldCharType="begin"/>
      </w:r>
      <w:r>
        <w:rPr>
          <w:b/>
          <w:bCs/>
          <w:color w:val="808080"/>
          <w:sz w:val="20"/>
          <w:szCs w:val="20"/>
        </w:rPr>
        <w:instrText xml:space="preserve"> SEQ Figure \* ARABIC </w:instrText>
      </w:r>
      <w:r w:rsidR="00FF5CA4">
        <w:rPr>
          <w:b/>
          <w:bCs/>
          <w:color w:val="808080"/>
          <w:sz w:val="20"/>
          <w:szCs w:val="20"/>
        </w:rPr>
        <w:fldChar w:fldCharType="separate"/>
      </w:r>
      <w:r w:rsidR="00BB479E">
        <w:rPr>
          <w:b/>
          <w:bCs/>
          <w:noProof/>
          <w:color w:val="808080"/>
          <w:sz w:val="20"/>
          <w:szCs w:val="20"/>
        </w:rPr>
        <w:t>6</w:t>
      </w:r>
      <w:r w:rsidR="00FF5CA4">
        <w:rPr>
          <w:b/>
          <w:bCs/>
          <w:color w:val="808080"/>
          <w:sz w:val="20"/>
          <w:szCs w:val="20"/>
        </w:rPr>
        <w:fldChar w:fldCharType="end"/>
      </w:r>
      <w:bookmarkEnd w:id="54"/>
      <w:r>
        <w:rPr>
          <w:b/>
          <w:bCs/>
          <w:color w:val="808080"/>
          <w:sz w:val="20"/>
          <w:szCs w:val="20"/>
        </w:rPr>
        <w:t>: Median Dwelling Purchase Price – 2000 - 2018</w:t>
      </w:r>
      <w:bookmarkEnd w:id="55"/>
    </w:p>
    <w:p w14:paraId="004F7F3D" w14:textId="77777777" w:rsidR="00B764FC" w:rsidRDefault="00B764FC">
      <w:pPr>
        <w:rPr>
          <w:sz w:val="20"/>
          <w:szCs w:val="20"/>
        </w:rPr>
      </w:pPr>
      <w:r>
        <w:rPr>
          <w:i/>
          <w:iCs/>
          <w:sz w:val="20"/>
          <w:szCs w:val="20"/>
        </w:rPr>
        <w:t>Source</w:t>
      </w:r>
      <w:r>
        <w:rPr>
          <w:sz w:val="20"/>
          <w:szCs w:val="20"/>
        </w:rPr>
        <w:t>:</w:t>
      </w:r>
      <w:r>
        <w:rPr>
          <w:sz w:val="20"/>
          <w:szCs w:val="20"/>
        </w:rPr>
        <w:tab/>
        <w:t>Valuer General</w:t>
      </w:r>
    </w:p>
    <w:p w14:paraId="04D10402" w14:textId="77777777" w:rsidR="00B764FC" w:rsidRDefault="00B764FC">
      <w:bookmarkStart w:id="56" w:name="_Toc2772841"/>
      <w:bookmarkStart w:id="57" w:name="_Toc4230657"/>
      <w:bookmarkStart w:id="58" w:name="_Toc4418693"/>
      <w:bookmarkStart w:id="59" w:name="_Toc17355217"/>
      <w:bookmarkStart w:id="60" w:name="_Toc17387333"/>
      <w:bookmarkStart w:id="61" w:name="_Toc17477435"/>
    </w:p>
    <w:p w14:paraId="619360B8" w14:textId="77777777" w:rsidR="00B764FC" w:rsidRPr="00CF4E99" w:rsidRDefault="00B764FC">
      <w:pPr>
        <w:pStyle w:val="Heading2"/>
      </w:pPr>
      <w:r w:rsidRPr="00CF4E99">
        <w:br w:type="column"/>
      </w:r>
      <w:bookmarkStart w:id="62" w:name="_Toc22120168"/>
      <w:r w:rsidRPr="00CF4E99">
        <w:lastRenderedPageBreak/>
        <w:t>6.2</w:t>
      </w:r>
      <w:r w:rsidRPr="00CF4E99">
        <w:tab/>
        <w:t>How prevalent is housing stress in Geelong?</w:t>
      </w:r>
      <w:bookmarkEnd w:id="62"/>
    </w:p>
    <w:p w14:paraId="6DF2708F" w14:textId="77777777" w:rsidR="00B764FC" w:rsidRDefault="00B764FC">
      <w:pPr>
        <w:spacing w:before="240" w:after="240" w:line="276" w:lineRule="auto"/>
        <w:rPr>
          <w:b/>
          <w:bCs/>
          <w:sz w:val="22"/>
          <w:szCs w:val="22"/>
        </w:rPr>
      </w:pPr>
      <w:r>
        <w:rPr>
          <w:b/>
          <w:bCs/>
          <w:sz w:val="22"/>
          <w:szCs w:val="22"/>
        </w:rPr>
        <w:t>Estimated number of households experiencing stress</w:t>
      </w:r>
    </w:p>
    <w:p w14:paraId="08D4FF5C" w14:textId="77777777" w:rsidR="00B764FC" w:rsidRDefault="00B764FC">
      <w:pPr>
        <w:spacing w:after="240" w:line="276" w:lineRule="auto"/>
        <w:jc w:val="both"/>
        <w:rPr>
          <w:sz w:val="22"/>
          <w:szCs w:val="22"/>
        </w:rPr>
      </w:pPr>
      <w:r>
        <w:rPr>
          <w:sz w:val="22"/>
          <w:szCs w:val="22"/>
        </w:rPr>
        <w:t>Housing stress is used as an approximate measure for the number of households that would benefit from living in social housing. Housing stress is defined as occurring where very low, low- and moderate-income households are experiencing housing stress as a result of paying a significant proportion of income in rent or mortgage payments, nominally more than 30%.</w:t>
      </w:r>
    </w:p>
    <w:p w14:paraId="6E5524FE" w14:textId="77777777" w:rsidR="00B764FC" w:rsidRDefault="00B764FC">
      <w:pPr>
        <w:spacing w:after="240" w:line="276" w:lineRule="auto"/>
        <w:jc w:val="both"/>
        <w:rPr>
          <w:sz w:val="22"/>
          <w:szCs w:val="22"/>
        </w:rPr>
      </w:pPr>
      <w:r>
        <w:rPr>
          <w:sz w:val="22"/>
          <w:szCs w:val="22"/>
        </w:rPr>
        <w:t>Housing stress is thus a function of the level of income, and the cost of housing. The cost of housing is measured as rental or mortgage payments.  Income bands are set by the Victorian Government for Greater Melbourne and Regional Victoria.  Geelong is classified as belonging to Regional Victoria.  Using income bands for Regional Victoria has the effect of underestimating the number of low-income households.</w:t>
      </w:r>
    </w:p>
    <w:p w14:paraId="5379036E" w14:textId="14083EBE" w:rsidR="00B764FC" w:rsidRDefault="00B764FC">
      <w:pPr>
        <w:pStyle w:val="Caption"/>
        <w:rPr>
          <w:b/>
          <w:bCs/>
        </w:rPr>
      </w:pPr>
      <w:bookmarkStart w:id="63" w:name="_Toc22120042"/>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7</w:t>
      </w:r>
      <w:r w:rsidR="00FF5CA4">
        <w:rPr>
          <w:b/>
          <w:bCs/>
        </w:rPr>
        <w:fldChar w:fldCharType="end"/>
      </w:r>
      <w:r>
        <w:rPr>
          <w:b/>
          <w:bCs/>
        </w:rPr>
        <w:t>:</w:t>
      </w:r>
      <w:r>
        <w:rPr>
          <w:b/>
          <w:bCs/>
        </w:rPr>
        <w:tab/>
        <w:t>Geelong households in housing stress - 2016</w:t>
      </w:r>
      <w:bookmarkEnd w:id="63"/>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568"/>
        <w:gridCol w:w="2305"/>
        <w:gridCol w:w="2469"/>
        <w:gridCol w:w="1872"/>
      </w:tblGrid>
      <w:tr w:rsidR="00B764FC" w14:paraId="3D23F986" w14:textId="77777777" w:rsidTr="004B2308">
        <w:trPr>
          <w:trHeight w:val="315"/>
          <w:jc w:val="center"/>
        </w:trPr>
        <w:tc>
          <w:tcPr>
            <w:tcW w:w="2568" w:type="dxa"/>
            <w:tcBorders>
              <w:left w:val="nil"/>
              <w:right w:val="nil"/>
            </w:tcBorders>
            <w:shd w:val="clear" w:color="auto" w:fill="002060"/>
            <w:vAlign w:val="center"/>
          </w:tcPr>
          <w:p w14:paraId="6485872C" w14:textId="77777777" w:rsidR="00B764FC" w:rsidRDefault="00B764FC">
            <w:pPr>
              <w:jc w:val="center"/>
              <w:rPr>
                <w:b/>
                <w:bCs/>
                <w:color w:val="FFFFFF"/>
                <w:sz w:val="20"/>
                <w:szCs w:val="20"/>
                <w:lang w:val="en-US"/>
              </w:rPr>
            </w:pPr>
            <w:r>
              <w:rPr>
                <w:b/>
                <w:bCs/>
                <w:color w:val="FFFFFF"/>
                <w:sz w:val="20"/>
                <w:szCs w:val="20"/>
                <w:lang w:val="en-US"/>
              </w:rPr>
              <w:t>Level of Income</w:t>
            </w:r>
          </w:p>
        </w:tc>
        <w:tc>
          <w:tcPr>
            <w:tcW w:w="2305" w:type="dxa"/>
            <w:tcBorders>
              <w:left w:val="nil"/>
              <w:right w:val="nil"/>
            </w:tcBorders>
            <w:shd w:val="clear" w:color="auto" w:fill="002060"/>
            <w:vAlign w:val="center"/>
          </w:tcPr>
          <w:p w14:paraId="719F989E" w14:textId="77777777" w:rsidR="00B764FC" w:rsidRDefault="00B764FC">
            <w:pPr>
              <w:jc w:val="center"/>
              <w:rPr>
                <w:b/>
                <w:bCs/>
                <w:color w:val="FFFFFF"/>
                <w:sz w:val="20"/>
                <w:szCs w:val="20"/>
                <w:lang w:val="en-US"/>
              </w:rPr>
            </w:pPr>
            <w:r>
              <w:rPr>
                <w:b/>
                <w:bCs/>
                <w:color w:val="FFFFFF"/>
                <w:sz w:val="20"/>
                <w:szCs w:val="20"/>
                <w:lang w:val="en-US"/>
              </w:rPr>
              <w:t>Mortgage</w:t>
            </w:r>
          </w:p>
          <w:p w14:paraId="12AEEC59" w14:textId="77777777" w:rsidR="00B764FC" w:rsidRDefault="00B764FC">
            <w:pPr>
              <w:jc w:val="center"/>
              <w:rPr>
                <w:b/>
                <w:bCs/>
                <w:color w:val="FFFFFF"/>
                <w:sz w:val="20"/>
                <w:szCs w:val="20"/>
                <w:lang w:val="en-US"/>
              </w:rPr>
            </w:pPr>
            <w:r>
              <w:rPr>
                <w:b/>
                <w:bCs/>
                <w:color w:val="FFFFFF"/>
                <w:sz w:val="20"/>
                <w:szCs w:val="20"/>
                <w:lang w:val="en-US"/>
              </w:rPr>
              <w:t>Stress</w:t>
            </w:r>
          </w:p>
        </w:tc>
        <w:tc>
          <w:tcPr>
            <w:tcW w:w="2469" w:type="dxa"/>
            <w:tcBorders>
              <w:left w:val="nil"/>
              <w:right w:val="nil"/>
            </w:tcBorders>
            <w:shd w:val="clear" w:color="auto" w:fill="002060"/>
            <w:vAlign w:val="center"/>
          </w:tcPr>
          <w:p w14:paraId="5BADCB0D" w14:textId="77777777" w:rsidR="00B764FC" w:rsidRDefault="00B764FC">
            <w:pPr>
              <w:jc w:val="center"/>
              <w:rPr>
                <w:b/>
                <w:bCs/>
                <w:color w:val="FFFFFF"/>
                <w:sz w:val="20"/>
                <w:szCs w:val="20"/>
                <w:lang w:val="en-US"/>
              </w:rPr>
            </w:pPr>
            <w:r>
              <w:rPr>
                <w:b/>
                <w:bCs/>
                <w:color w:val="FFFFFF"/>
                <w:sz w:val="20"/>
                <w:szCs w:val="20"/>
                <w:lang w:val="en-US"/>
              </w:rPr>
              <w:t xml:space="preserve">Rental </w:t>
            </w:r>
          </w:p>
          <w:p w14:paraId="35539ED2" w14:textId="77777777" w:rsidR="00B764FC" w:rsidRDefault="00B764FC">
            <w:pPr>
              <w:jc w:val="center"/>
              <w:rPr>
                <w:b/>
                <w:bCs/>
                <w:color w:val="FFFFFF"/>
                <w:sz w:val="20"/>
                <w:szCs w:val="20"/>
                <w:lang w:val="en-US"/>
              </w:rPr>
            </w:pPr>
            <w:r>
              <w:rPr>
                <w:b/>
                <w:bCs/>
                <w:color w:val="FFFFFF"/>
                <w:sz w:val="20"/>
                <w:szCs w:val="20"/>
                <w:lang w:val="en-US"/>
              </w:rPr>
              <w:t>Stress</w:t>
            </w:r>
          </w:p>
        </w:tc>
        <w:tc>
          <w:tcPr>
            <w:tcW w:w="1872" w:type="dxa"/>
            <w:tcBorders>
              <w:left w:val="nil"/>
              <w:right w:val="nil"/>
            </w:tcBorders>
            <w:shd w:val="clear" w:color="auto" w:fill="002060"/>
            <w:vAlign w:val="center"/>
          </w:tcPr>
          <w:p w14:paraId="6400A3BF" w14:textId="77777777" w:rsidR="00B764FC" w:rsidRDefault="00B764FC">
            <w:pPr>
              <w:jc w:val="center"/>
              <w:rPr>
                <w:b/>
                <w:bCs/>
                <w:color w:val="FFFFFF"/>
                <w:sz w:val="20"/>
                <w:szCs w:val="20"/>
                <w:lang w:val="en-US"/>
              </w:rPr>
            </w:pPr>
            <w:r>
              <w:rPr>
                <w:b/>
                <w:bCs/>
                <w:color w:val="FFFFFF"/>
                <w:sz w:val="20"/>
                <w:szCs w:val="20"/>
                <w:lang w:val="en-US"/>
              </w:rPr>
              <w:t>Total</w:t>
            </w:r>
          </w:p>
          <w:p w14:paraId="0796BED7" w14:textId="77777777" w:rsidR="00B764FC" w:rsidRDefault="00B764FC">
            <w:pPr>
              <w:jc w:val="center"/>
              <w:rPr>
                <w:b/>
                <w:bCs/>
                <w:color w:val="FFFFFF"/>
                <w:sz w:val="20"/>
                <w:szCs w:val="20"/>
                <w:lang w:val="en-US"/>
              </w:rPr>
            </w:pPr>
            <w:r>
              <w:rPr>
                <w:b/>
                <w:bCs/>
                <w:color w:val="FFFFFF"/>
                <w:sz w:val="20"/>
                <w:szCs w:val="20"/>
                <w:lang w:val="en-US"/>
              </w:rPr>
              <w:t>Housing Stress</w:t>
            </w:r>
          </w:p>
        </w:tc>
      </w:tr>
      <w:tr w:rsidR="00B764FC" w14:paraId="5FA9BC07" w14:textId="77777777">
        <w:trPr>
          <w:trHeight w:val="330"/>
          <w:jc w:val="center"/>
        </w:trPr>
        <w:tc>
          <w:tcPr>
            <w:tcW w:w="2568" w:type="dxa"/>
            <w:tcBorders>
              <w:left w:val="nil"/>
              <w:right w:val="nil"/>
            </w:tcBorders>
            <w:vAlign w:val="center"/>
          </w:tcPr>
          <w:p w14:paraId="28286518" w14:textId="77777777" w:rsidR="00B764FC" w:rsidRDefault="00B764FC">
            <w:pPr>
              <w:rPr>
                <w:color w:val="000000"/>
                <w:sz w:val="20"/>
                <w:szCs w:val="20"/>
                <w:lang w:val="en-US"/>
              </w:rPr>
            </w:pPr>
            <w:r>
              <w:rPr>
                <w:color w:val="000000"/>
                <w:sz w:val="20"/>
                <w:szCs w:val="20"/>
                <w:lang w:val="en-US"/>
              </w:rPr>
              <w:t>Very low</w:t>
            </w:r>
          </w:p>
        </w:tc>
        <w:tc>
          <w:tcPr>
            <w:tcW w:w="2305" w:type="dxa"/>
            <w:tcBorders>
              <w:left w:val="nil"/>
              <w:right w:val="nil"/>
            </w:tcBorders>
            <w:vAlign w:val="center"/>
          </w:tcPr>
          <w:p w14:paraId="30BB1446" w14:textId="77777777" w:rsidR="00B764FC" w:rsidRDefault="00B764FC">
            <w:pPr>
              <w:jc w:val="center"/>
              <w:rPr>
                <w:color w:val="000000"/>
                <w:sz w:val="20"/>
                <w:szCs w:val="20"/>
                <w:lang w:val="en-US"/>
              </w:rPr>
            </w:pPr>
            <w:r>
              <w:rPr>
                <w:color w:val="000000"/>
                <w:sz w:val="20"/>
                <w:szCs w:val="20"/>
                <w:lang w:val="en-US"/>
              </w:rPr>
              <w:t>783</w:t>
            </w:r>
          </w:p>
        </w:tc>
        <w:tc>
          <w:tcPr>
            <w:tcW w:w="2469" w:type="dxa"/>
            <w:tcBorders>
              <w:left w:val="nil"/>
              <w:right w:val="nil"/>
            </w:tcBorders>
            <w:vAlign w:val="center"/>
          </w:tcPr>
          <w:p w14:paraId="14059102" w14:textId="77777777" w:rsidR="00B764FC" w:rsidRDefault="00B764FC">
            <w:pPr>
              <w:jc w:val="center"/>
              <w:rPr>
                <w:color w:val="000000"/>
                <w:sz w:val="20"/>
                <w:szCs w:val="20"/>
                <w:lang w:val="en-US"/>
              </w:rPr>
            </w:pPr>
            <w:r>
              <w:rPr>
                <w:color w:val="000000"/>
                <w:sz w:val="20"/>
                <w:szCs w:val="20"/>
                <w:lang w:val="en-US"/>
              </w:rPr>
              <w:t>2,138</w:t>
            </w:r>
          </w:p>
        </w:tc>
        <w:tc>
          <w:tcPr>
            <w:tcW w:w="1872" w:type="dxa"/>
            <w:tcBorders>
              <w:left w:val="nil"/>
              <w:right w:val="nil"/>
            </w:tcBorders>
            <w:vAlign w:val="center"/>
          </w:tcPr>
          <w:p w14:paraId="3498A975" w14:textId="77777777" w:rsidR="00B764FC" w:rsidRDefault="00B764FC">
            <w:pPr>
              <w:jc w:val="center"/>
              <w:rPr>
                <w:color w:val="000000"/>
                <w:sz w:val="20"/>
                <w:szCs w:val="20"/>
                <w:lang w:val="en-US"/>
              </w:rPr>
            </w:pPr>
            <w:r>
              <w:rPr>
                <w:color w:val="000000"/>
                <w:sz w:val="20"/>
                <w:szCs w:val="20"/>
                <w:lang w:val="en-US"/>
              </w:rPr>
              <w:t>2,921</w:t>
            </w:r>
          </w:p>
        </w:tc>
      </w:tr>
      <w:tr w:rsidR="00B764FC" w14:paraId="3D6CAA9A" w14:textId="77777777">
        <w:trPr>
          <w:trHeight w:val="315"/>
          <w:jc w:val="center"/>
        </w:trPr>
        <w:tc>
          <w:tcPr>
            <w:tcW w:w="2568" w:type="dxa"/>
            <w:tcBorders>
              <w:left w:val="nil"/>
              <w:right w:val="nil"/>
            </w:tcBorders>
            <w:shd w:val="clear" w:color="auto" w:fill="FFFFFF"/>
            <w:vAlign w:val="center"/>
          </w:tcPr>
          <w:p w14:paraId="0D9F402C" w14:textId="77777777" w:rsidR="00B764FC" w:rsidRDefault="00B764FC">
            <w:pPr>
              <w:rPr>
                <w:color w:val="000000"/>
                <w:sz w:val="20"/>
                <w:szCs w:val="20"/>
                <w:lang w:val="en-US"/>
              </w:rPr>
            </w:pPr>
            <w:r>
              <w:rPr>
                <w:color w:val="000000"/>
                <w:sz w:val="20"/>
                <w:szCs w:val="20"/>
                <w:lang w:val="en-US"/>
              </w:rPr>
              <w:t>Low</w:t>
            </w:r>
          </w:p>
        </w:tc>
        <w:tc>
          <w:tcPr>
            <w:tcW w:w="2305" w:type="dxa"/>
            <w:tcBorders>
              <w:left w:val="nil"/>
              <w:right w:val="nil"/>
            </w:tcBorders>
            <w:shd w:val="clear" w:color="auto" w:fill="FFFFFF"/>
            <w:vAlign w:val="center"/>
          </w:tcPr>
          <w:p w14:paraId="316D937B" w14:textId="77777777" w:rsidR="00B764FC" w:rsidRDefault="00B764FC">
            <w:pPr>
              <w:jc w:val="center"/>
              <w:rPr>
                <w:color w:val="000000"/>
                <w:sz w:val="20"/>
                <w:szCs w:val="20"/>
                <w:lang w:val="en-US"/>
              </w:rPr>
            </w:pPr>
            <w:r>
              <w:rPr>
                <w:color w:val="000000"/>
                <w:sz w:val="20"/>
                <w:szCs w:val="20"/>
                <w:lang w:val="en-US"/>
              </w:rPr>
              <w:t>955</w:t>
            </w:r>
          </w:p>
        </w:tc>
        <w:tc>
          <w:tcPr>
            <w:tcW w:w="2469" w:type="dxa"/>
            <w:tcBorders>
              <w:left w:val="nil"/>
              <w:right w:val="nil"/>
            </w:tcBorders>
            <w:shd w:val="clear" w:color="auto" w:fill="FFFFFF"/>
            <w:vAlign w:val="center"/>
          </w:tcPr>
          <w:p w14:paraId="53BF91B3" w14:textId="77777777" w:rsidR="00B764FC" w:rsidRDefault="00B764FC">
            <w:pPr>
              <w:jc w:val="center"/>
              <w:rPr>
                <w:color w:val="000000"/>
                <w:sz w:val="20"/>
                <w:szCs w:val="20"/>
                <w:lang w:val="en-US"/>
              </w:rPr>
            </w:pPr>
            <w:r>
              <w:rPr>
                <w:color w:val="000000"/>
                <w:sz w:val="20"/>
                <w:szCs w:val="20"/>
                <w:lang w:val="en-US"/>
              </w:rPr>
              <w:t>2,851</w:t>
            </w:r>
          </w:p>
        </w:tc>
        <w:tc>
          <w:tcPr>
            <w:tcW w:w="1872" w:type="dxa"/>
            <w:tcBorders>
              <w:left w:val="nil"/>
              <w:right w:val="nil"/>
            </w:tcBorders>
            <w:shd w:val="clear" w:color="auto" w:fill="FFFFFF"/>
            <w:vAlign w:val="center"/>
          </w:tcPr>
          <w:p w14:paraId="77456CD2" w14:textId="77777777" w:rsidR="00B764FC" w:rsidRDefault="00B764FC">
            <w:pPr>
              <w:jc w:val="center"/>
              <w:rPr>
                <w:color w:val="000000"/>
                <w:sz w:val="20"/>
                <w:szCs w:val="20"/>
                <w:lang w:val="en-US"/>
              </w:rPr>
            </w:pPr>
            <w:r>
              <w:rPr>
                <w:color w:val="000000"/>
                <w:sz w:val="20"/>
                <w:szCs w:val="20"/>
                <w:lang w:val="en-US"/>
              </w:rPr>
              <w:t>3,806</w:t>
            </w:r>
          </w:p>
        </w:tc>
      </w:tr>
      <w:tr w:rsidR="00B764FC" w14:paraId="6D15ED5F" w14:textId="77777777">
        <w:trPr>
          <w:trHeight w:val="300"/>
          <w:jc w:val="center"/>
        </w:trPr>
        <w:tc>
          <w:tcPr>
            <w:tcW w:w="2568" w:type="dxa"/>
            <w:tcBorders>
              <w:left w:val="nil"/>
              <w:right w:val="nil"/>
            </w:tcBorders>
            <w:vAlign w:val="center"/>
          </w:tcPr>
          <w:p w14:paraId="0CD9A898" w14:textId="77777777" w:rsidR="00B764FC" w:rsidRDefault="00B764FC">
            <w:pPr>
              <w:rPr>
                <w:color w:val="000000"/>
                <w:sz w:val="20"/>
                <w:szCs w:val="20"/>
                <w:lang w:val="en-US"/>
              </w:rPr>
            </w:pPr>
            <w:r>
              <w:rPr>
                <w:color w:val="000000"/>
                <w:sz w:val="20"/>
                <w:szCs w:val="20"/>
                <w:lang w:val="en-US"/>
              </w:rPr>
              <w:t>Moderate</w:t>
            </w:r>
          </w:p>
        </w:tc>
        <w:tc>
          <w:tcPr>
            <w:tcW w:w="2305" w:type="dxa"/>
            <w:tcBorders>
              <w:left w:val="nil"/>
              <w:right w:val="nil"/>
            </w:tcBorders>
            <w:vAlign w:val="center"/>
          </w:tcPr>
          <w:p w14:paraId="1525901C" w14:textId="77777777" w:rsidR="00B764FC" w:rsidRDefault="00B764FC">
            <w:pPr>
              <w:jc w:val="center"/>
              <w:rPr>
                <w:color w:val="000000"/>
                <w:sz w:val="20"/>
                <w:szCs w:val="20"/>
                <w:lang w:val="en-US"/>
              </w:rPr>
            </w:pPr>
            <w:r>
              <w:rPr>
                <w:color w:val="000000"/>
                <w:sz w:val="20"/>
                <w:szCs w:val="20"/>
                <w:lang w:val="en-US"/>
              </w:rPr>
              <w:t>1,332</w:t>
            </w:r>
          </w:p>
        </w:tc>
        <w:tc>
          <w:tcPr>
            <w:tcW w:w="2469" w:type="dxa"/>
            <w:tcBorders>
              <w:left w:val="nil"/>
              <w:right w:val="nil"/>
            </w:tcBorders>
            <w:vAlign w:val="center"/>
          </w:tcPr>
          <w:p w14:paraId="5D16412F" w14:textId="77777777" w:rsidR="00B764FC" w:rsidRDefault="00B764FC">
            <w:pPr>
              <w:jc w:val="center"/>
              <w:rPr>
                <w:color w:val="000000"/>
                <w:sz w:val="20"/>
                <w:szCs w:val="20"/>
                <w:lang w:val="en-US"/>
              </w:rPr>
            </w:pPr>
            <w:r>
              <w:rPr>
                <w:color w:val="000000"/>
                <w:sz w:val="20"/>
                <w:szCs w:val="20"/>
                <w:lang w:val="en-US"/>
              </w:rPr>
              <w:t>1,822</w:t>
            </w:r>
          </w:p>
        </w:tc>
        <w:tc>
          <w:tcPr>
            <w:tcW w:w="1872" w:type="dxa"/>
            <w:tcBorders>
              <w:left w:val="nil"/>
              <w:right w:val="nil"/>
            </w:tcBorders>
            <w:vAlign w:val="center"/>
          </w:tcPr>
          <w:p w14:paraId="39CF9F10" w14:textId="77777777" w:rsidR="00B764FC" w:rsidRDefault="00B764FC">
            <w:pPr>
              <w:jc w:val="center"/>
              <w:rPr>
                <w:color w:val="000000"/>
                <w:sz w:val="20"/>
                <w:szCs w:val="20"/>
                <w:lang w:val="en-US"/>
              </w:rPr>
            </w:pPr>
            <w:r>
              <w:rPr>
                <w:color w:val="000000"/>
                <w:sz w:val="20"/>
                <w:szCs w:val="20"/>
                <w:lang w:val="en-US"/>
              </w:rPr>
              <w:t>3,154</w:t>
            </w:r>
          </w:p>
        </w:tc>
      </w:tr>
      <w:tr w:rsidR="00B764FC" w14:paraId="5C9DDE7A" w14:textId="77777777">
        <w:trPr>
          <w:trHeight w:val="300"/>
          <w:jc w:val="center"/>
        </w:trPr>
        <w:tc>
          <w:tcPr>
            <w:tcW w:w="2568" w:type="dxa"/>
            <w:tcBorders>
              <w:left w:val="nil"/>
              <w:right w:val="nil"/>
            </w:tcBorders>
            <w:shd w:val="clear" w:color="auto" w:fill="C0C0C0"/>
            <w:vAlign w:val="center"/>
          </w:tcPr>
          <w:p w14:paraId="7D403711" w14:textId="77777777" w:rsidR="00B764FC" w:rsidRDefault="00B764FC">
            <w:pPr>
              <w:rPr>
                <w:b/>
                <w:bCs/>
                <w:i/>
                <w:iCs/>
                <w:color w:val="000000"/>
                <w:sz w:val="20"/>
                <w:szCs w:val="20"/>
                <w:lang w:val="en-US"/>
              </w:rPr>
            </w:pPr>
            <w:r>
              <w:rPr>
                <w:b/>
                <w:bCs/>
                <w:i/>
                <w:iCs/>
                <w:color w:val="000000"/>
                <w:sz w:val="20"/>
                <w:szCs w:val="20"/>
                <w:lang w:val="en-US"/>
              </w:rPr>
              <w:t>Total</w:t>
            </w:r>
          </w:p>
        </w:tc>
        <w:tc>
          <w:tcPr>
            <w:tcW w:w="2305" w:type="dxa"/>
            <w:tcBorders>
              <w:left w:val="nil"/>
              <w:right w:val="nil"/>
            </w:tcBorders>
            <w:shd w:val="clear" w:color="auto" w:fill="C0C0C0"/>
            <w:vAlign w:val="center"/>
          </w:tcPr>
          <w:p w14:paraId="238D7433" w14:textId="77777777" w:rsidR="00B764FC" w:rsidRDefault="00B764FC">
            <w:pPr>
              <w:jc w:val="center"/>
              <w:rPr>
                <w:b/>
                <w:bCs/>
                <w:i/>
                <w:iCs/>
                <w:color w:val="000000"/>
                <w:sz w:val="20"/>
                <w:szCs w:val="20"/>
                <w:lang w:val="en-US"/>
              </w:rPr>
            </w:pPr>
            <w:r>
              <w:rPr>
                <w:b/>
                <w:bCs/>
                <w:i/>
                <w:iCs/>
                <w:color w:val="000000"/>
                <w:sz w:val="20"/>
                <w:szCs w:val="20"/>
                <w:lang w:val="en-US"/>
              </w:rPr>
              <w:t>3,070</w:t>
            </w:r>
          </w:p>
        </w:tc>
        <w:tc>
          <w:tcPr>
            <w:tcW w:w="2469" w:type="dxa"/>
            <w:tcBorders>
              <w:left w:val="nil"/>
              <w:right w:val="nil"/>
            </w:tcBorders>
            <w:shd w:val="clear" w:color="auto" w:fill="C0C0C0"/>
            <w:vAlign w:val="center"/>
          </w:tcPr>
          <w:p w14:paraId="04AF8719" w14:textId="77777777" w:rsidR="00B764FC" w:rsidRDefault="00B764FC">
            <w:pPr>
              <w:jc w:val="center"/>
              <w:rPr>
                <w:b/>
                <w:bCs/>
                <w:i/>
                <w:iCs/>
                <w:color w:val="000000"/>
                <w:sz w:val="20"/>
                <w:szCs w:val="20"/>
                <w:lang w:val="en-US"/>
              </w:rPr>
            </w:pPr>
            <w:r>
              <w:rPr>
                <w:b/>
                <w:bCs/>
                <w:i/>
                <w:iCs/>
                <w:color w:val="000000"/>
                <w:sz w:val="20"/>
                <w:szCs w:val="20"/>
                <w:lang w:val="en-US"/>
              </w:rPr>
              <w:t>6,811</w:t>
            </w:r>
          </w:p>
        </w:tc>
        <w:tc>
          <w:tcPr>
            <w:tcW w:w="1872" w:type="dxa"/>
            <w:tcBorders>
              <w:left w:val="nil"/>
              <w:right w:val="nil"/>
            </w:tcBorders>
            <w:shd w:val="clear" w:color="auto" w:fill="C0C0C0"/>
            <w:vAlign w:val="center"/>
          </w:tcPr>
          <w:p w14:paraId="5CDE70E5" w14:textId="77777777" w:rsidR="00B764FC" w:rsidRDefault="00B764FC">
            <w:pPr>
              <w:jc w:val="center"/>
              <w:rPr>
                <w:b/>
                <w:bCs/>
                <w:i/>
                <w:iCs/>
                <w:color w:val="000000"/>
                <w:sz w:val="20"/>
                <w:szCs w:val="20"/>
                <w:lang w:val="en-US"/>
              </w:rPr>
            </w:pPr>
            <w:r>
              <w:rPr>
                <w:b/>
                <w:bCs/>
                <w:i/>
                <w:iCs/>
                <w:color w:val="000000"/>
                <w:sz w:val="20"/>
                <w:szCs w:val="20"/>
                <w:lang w:val="en-US"/>
              </w:rPr>
              <w:t>9,881</w:t>
            </w:r>
          </w:p>
        </w:tc>
      </w:tr>
    </w:tbl>
    <w:p w14:paraId="2F6CCDA1" w14:textId="77777777" w:rsidR="00B764FC" w:rsidRDefault="00B764FC">
      <w:pPr>
        <w:rPr>
          <w:sz w:val="20"/>
          <w:szCs w:val="20"/>
        </w:rPr>
      </w:pPr>
      <w:r>
        <w:rPr>
          <w:i/>
          <w:iCs/>
          <w:sz w:val="20"/>
          <w:szCs w:val="20"/>
        </w:rPr>
        <w:t>Source</w:t>
      </w:r>
      <w:r>
        <w:rPr>
          <w:sz w:val="20"/>
          <w:szCs w:val="20"/>
        </w:rPr>
        <w:t>:</w:t>
      </w:r>
      <w:r>
        <w:rPr>
          <w:sz w:val="20"/>
          <w:szCs w:val="20"/>
        </w:rPr>
        <w:tab/>
        <w:t>ABS, 2016</w:t>
      </w:r>
    </w:p>
    <w:p w14:paraId="7C19751F" w14:textId="77777777" w:rsidR="00B764FC" w:rsidRDefault="00B764FC">
      <w:pPr>
        <w:spacing w:before="240" w:line="276" w:lineRule="auto"/>
        <w:jc w:val="both"/>
        <w:rPr>
          <w:sz w:val="22"/>
          <w:szCs w:val="22"/>
        </w:rPr>
      </w:pPr>
      <w:r>
        <w:rPr>
          <w:sz w:val="22"/>
          <w:szCs w:val="22"/>
        </w:rPr>
        <w:t xml:space="preserve">There are approximately </w:t>
      </w:r>
      <w:r>
        <w:rPr>
          <w:b/>
          <w:bCs/>
          <w:sz w:val="22"/>
          <w:szCs w:val="22"/>
        </w:rPr>
        <w:t>9,900 households (11% of all households) living in housing stress</w:t>
      </w:r>
      <w:r>
        <w:rPr>
          <w:sz w:val="22"/>
          <w:szCs w:val="22"/>
        </w:rPr>
        <w:t xml:space="preserve"> in Geelong.  There are approximately 6,800 households experiencing rental stress, which is approximately one quarter (26%) of all households renting privately in Geelong.  </w:t>
      </w:r>
    </w:p>
    <w:p w14:paraId="77AF2C15" w14:textId="77777777" w:rsidR="00B764FC" w:rsidRDefault="00B764FC">
      <w:pPr>
        <w:spacing w:before="240" w:line="276" w:lineRule="auto"/>
        <w:jc w:val="both"/>
        <w:rPr>
          <w:sz w:val="22"/>
          <w:szCs w:val="22"/>
        </w:rPr>
      </w:pPr>
      <w:r>
        <w:rPr>
          <w:sz w:val="22"/>
          <w:szCs w:val="22"/>
        </w:rPr>
        <w:t xml:space="preserve">Households living in housing stress are located in </w:t>
      </w:r>
      <w:r>
        <w:rPr>
          <w:b/>
          <w:bCs/>
          <w:sz w:val="22"/>
          <w:szCs w:val="22"/>
        </w:rPr>
        <w:t>3 main Areas</w:t>
      </w:r>
      <w:r>
        <w:rPr>
          <w:sz w:val="22"/>
          <w:szCs w:val="22"/>
        </w:rPr>
        <w:t xml:space="preserve">: </w:t>
      </w:r>
    </w:p>
    <w:p w14:paraId="163B0B5B" w14:textId="77777777" w:rsidR="00B764FC" w:rsidRDefault="00B764FC" w:rsidP="00077040">
      <w:pPr>
        <w:pStyle w:val="ListParagraph"/>
        <w:numPr>
          <w:ilvl w:val="0"/>
          <w:numId w:val="38"/>
        </w:numPr>
        <w:tabs>
          <w:tab w:val="clear" w:pos="360"/>
          <w:tab w:val="num" w:pos="1418"/>
        </w:tabs>
        <w:spacing w:before="60"/>
        <w:ind w:left="567" w:hanging="425"/>
        <w:jc w:val="both"/>
        <w:rPr>
          <w:sz w:val="22"/>
          <w:szCs w:val="22"/>
        </w:rPr>
      </w:pPr>
      <w:r>
        <w:rPr>
          <w:sz w:val="22"/>
          <w:szCs w:val="22"/>
        </w:rPr>
        <w:t>Area 13: Corio, Norlane (19% of Area households)</w:t>
      </w:r>
    </w:p>
    <w:p w14:paraId="722F60EC" w14:textId="77777777" w:rsidR="00B764FC" w:rsidRDefault="00B764FC" w:rsidP="00077040">
      <w:pPr>
        <w:pStyle w:val="ListParagraph"/>
        <w:numPr>
          <w:ilvl w:val="0"/>
          <w:numId w:val="38"/>
        </w:numPr>
        <w:tabs>
          <w:tab w:val="clear" w:pos="360"/>
          <w:tab w:val="num" w:pos="1418"/>
        </w:tabs>
        <w:spacing w:before="60"/>
        <w:ind w:left="567" w:hanging="425"/>
        <w:jc w:val="both"/>
        <w:rPr>
          <w:sz w:val="22"/>
          <w:szCs w:val="22"/>
        </w:rPr>
      </w:pPr>
      <w:r>
        <w:rPr>
          <w:sz w:val="22"/>
          <w:szCs w:val="22"/>
        </w:rPr>
        <w:t xml:space="preserve">Area 6: Newcomb, South Geelong, St Albans, and Whittington (16%) and </w:t>
      </w:r>
    </w:p>
    <w:p w14:paraId="1EA626C9" w14:textId="77777777" w:rsidR="00B764FC" w:rsidRDefault="00B764FC" w:rsidP="00077040">
      <w:pPr>
        <w:pStyle w:val="ListParagraph"/>
        <w:numPr>
          <w:ilvl w:val="0"/>
          <w:numId w:val="38"/>
        </w:numPr>
        <w:tabs>
          <w:tab w:val="clear" w:pos="360"/>
          <w:tab w:val="num" w:pos="1418"/>
        </w:tabs>
        <w:spacing w:before="60"/>
        <w:ind w:left="567" w:hanging="425"/>
        <w:jc w:val="both"/>
        <w:rPr>
          <w:sz w:val="22"/>
          <w:szCs w:val="22"/>
        </w:rPr>
      </w:pPr>
      <w:r>
        <w:rPr>
          <w:sz w:val="22"/>
          <w:szCs w:val="22"/>
        </w:rPr>
        <w:t>Area 8: Belmont and Highton (11%)</w:t>
      </w:r>
    </w:p>
    <w:p w14:paraId="672AB9F8" w14:textId="77777777" w:rsidR="00B764FC" w:rsidRDefault="00B764FC">
      <w:pPr>
        <w:pStyle w:val="ListParagraph"/>
        <w:ind w:left="0"/>
        <w:jc w:val="both"/>
        <w:rPr>
          <w:sz w:val="22"/>
          <w:szCs w:val="22"/>
        </w:rPr>
      </w:pPr>
    </w:p>
    <w:p w14:paraId="6D2D4DD6" w14:textId="77777777" w:rsidR="00B764FC" w:rsidRDefault="00B764FC">
      <w:pPr>
        <w:pStyle w:val="ListParagraph"/>
        <w:ind w:left="0"/>
        <w:jc w:val="both"/>
        <w:rPr>
          <w:sz w:val="22"/>
          <w:szCs w:val="22"/>
        </w:rPr>
      </w:pPr>
      <w:r>
        <w:rPr>
          <w:sz w:val="22"/>
          <w:szCs w:val="22"/>
        </w:rPr>
        <w:t>The rental and mortgage components of housing stress are below for each of the 15 Areas.</w:t>
      </w:r>
    </w:p>
    <w:p w14:paraId="7E0FF669" w14:textId="77777777" w:rsidR="00B764FC" w:rsidRDefault="00B764FC">
      <w:pPr>
        <w:spacing w:line="276" w:lineRule="auto"/>
        <w:jc w:val="both"/>
      </w:pPr>
      <w:r>
        <w:rPr>
          <w:b/>
          <w:bCs/>
        </w:rPr>
        <w:br w:type="column"/>
      </w:r>
      <w:r>
        <w:rPr>
          <w:sz w:val="22"/>
          <w:szCs w:val="22"/>
        </w:rPr>
        <w:lastRenderedPageBreak/>
        <w:t>Housing stress associated with rental is more significant than housing stress associated with mortgage repayments in all Areas except Area 1 which includes Armstrong Creek, and Area 15 Lovely Banks and Rural North.</w:t>
      </w:r>
    </w:p>
    <w:p w14:paraId="456D1B19" w14:textId="77777777" w:rsidR="00B764FC" w:rsidRDefault="00B764FC">
      <w:pPr>
        <w:rPr>
          <w:noProof/>
        </w:rPr>
      </w:pPr>
    </w:p>
    <w:p w14:paraId="05B558CA" w14:textId="77777777" w:rsidR="00B764FC" w:rsidRDefault="00A92396">
      <w:pPr>
        <w:rPr>
          <w:noProof/>
        </w:rPr>
      </w:pPr>
      <w:r>
        <w:rPr>
          <w:noProof/>
          <w:lang w:eastAsia="en-AU"/>
        </w:rPr>
        <w:drawing>
          <wp:anchor distT="0" distB="0" distL="114300" distR="114300" simplePos="0" relativeHeight="251657728" behindDoc="0" locked="0" layoutInCell="0" allowOverlap="1" wp14:anchorId="1CF08494" wp14:editId="521AD338">
            <wp:simplePos x="0" y="0"/>
            <wp:positionH relativeFrom="margin">
              <wp:posOffset>0</wp:posOffset>
            </wp:positionH>
            <wp:positionV relativeFrom="paragraph">
              <wp:posOffset>30480</wp:posOffset>
            </wp:positionV>
            <wp:extent cx="5117465" cy="4478655"/>
            <wp:effectExtent l="19050" t="19050" r="26035" b="17145"/>
            <wp:wrapNone/>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srcRect/>
                    <a:stretch>
                      <a:fillRect/>
                    </a:stretch>
                  </pic:blipFill>
                  <pic:spPr bwMode="auto">
                    <a:xfrm>
                      <a:off x="0" y="0"/>
                      <a:ext cx="5117465" cy="4478655"/>
                    </a:xfrm>
                    <a:prstGeom prst="rect">
                      <a:avLst/>
                    </a:prstGeom>
                    <a:noFill/>
                    <a:ln w="12700">
                      <a:solidFill>
                        <a:srgbClr val="000000"/>
                      </a:solidFill>
                      <a:miter lim="800000"/>
                      <a:headEnd/>
                      <a:tailEnd/>
                    </a:ln>
                  </pic:spPr>
                </pic:pic>
              </a:graphicData>
            </a:graphic>
          </wp:anchor>
        </w:drawing>
      </w:r>
      <w:r w:rsidR="00B764FC">
        <w:rPr>
          <w:noProof/>
        </w:rPr>
        <w:t>2001</w:t>
      </w:r>
    </w:p>
    <w:p w14:paraId="191BF488" w14:textId="77777777" w:rsidR="00B764FC" w:rsidRDefault="00B764FC">
      <w:pPr>
        <w:rPr>
          <w:noProof/>
        </w:rPr>
      </w:pPr>
    </w:p>
    <w:p w14:paraId="6080D341" w14:textId="77777777" w:rsidR="00B764FC" w:rsidRDefault="00B764FC">
      <w:pPr>
        <w:rPr>
          <w:noProof/>
        </w:rPr>
      </w:pPr>
    </w:p>
    <w:p w14:paraId="49355A40" w14:textId="77777777" w:rsidR="00B764FC" w:rsidRDefault="00B764FC">
      <w:pPr>
        <w:rPr>
          <w:noProof/>
        </w:rPr>
      </w:pPr>
    </w:p>
    <w:p w14:paraId="1ED429D6" w14:textId="77777777" w:rsidR="00B764FC" w:rsidRDefault="00B764FC">
      <w:pPr>
        <w:rPr>
          <w:noProof/>
        </w:rPr>
      </w:pPr>
    </w:p>
    <w:p w14:paraId="4C55AF63" w14:textId="77777777" w:rsidR="00B764FC" w:rsidRDefault="00B764FC">
      <w:pPr>
        <w:rPr>
          <w:noProof/>
        </w:rPr>
      </w:pPr>
    </w:p>
    <w:p w14:paraId="0E364F18" w14:textId="77777777" w:rsidR="00B764FC" w:rsidRDefault="00B764FC">
      <w:pPr>
        <w:rPr>
          <w:noProof/>
        </w:rPr>
      </w:pPr>
    </w:p>
    <w:p w14:paraId="5485154C" w14:textId="77777777" w:rsidR="00B764FC" w:rsidRDefault="00B764FC">
      <w:pPr>
        <w:rPr>
          <w:noProof/>
        </w:rPr>
      </w:pPr>
    </w:p>
    <w:p w14:paraId="108EECB0" w14:textId="77777777" w:rsidR="00B764FC" w:rsidRDefault="00B764FC">
      <w:pPr>
        <w:rPr>
          <w:noProof/>
        </w:rPr>
      </w:pPr>
    </w:p>
    <w:p w14:paraId="561ADAE0" w14:textId="77777777" w:rsidR="00B764FC" w:rsidRDefault="00B764FC">
      <w:pPr>
        <w:rPr>
          <w:noProof/>
        </w:rPr>
      </w:pPr>
    </w:p>
    <w:p w14:paraId="5F4BB364" w14:textId="77777777" w:rsidR="00B764FC" w:rsidRDefault="00B764FC">
      <w:pPr>
        <w:rPr>
          <w:noProof/>
        </w:rPr>
      </w:pPr>
    </w:p>
    <w:p w14:paraId="762DF25E" w14:textId="77777777" w:rsidR="00B764FC" w:rsidRDefault="00B764FC">
      <w:pPr>
        <w:rPr>
          <w:noProof/>
        </w:rPr>
      </w:pPr>
    </w:p>
    <w:p w14:paraId="5BB807B1" w14:textId="77777777" w:rsidR="00B764FC" w:rsidRDefault="00B764FC">
      <w:pPr>
        <w:rPr>
          <w:noProof/>
        </w:rPr>
      </w:pPr>
    </w:p>
    <w:p w14:paraId="3E0C01C5" w14:textId="77777777" w:rsidR="00B764FC" w:rsidRDefault="00B764FC">
      <w:pPr>
        <w:rPr>
          <w:noProof/>
        </w:rPr>
      </w:pPr>
    </w:p>
    <w:p w14:paraId="6DACAEB1" w14:textId="77777777" w:rsidR="00B764FC" w:rsidRDefault="00B764FC">
      <w:pPr>
        <w:rPr>
          <w:noProof/>
        </w:rPr>
      </w:pPr>
    </w:p>
    <w:p w14:paraId="14B6AB1F" w14:textId="77777777" w:rsidR="00B764FC" w:rsidRDefault="00B764FC">
      <w:pPr>
        <w:rPr>
          <w:noProof/>
        </w:rPr>
      </w:pPr>
    </w:p>
    <w:p w14:paraId="3ECF909D" w14:textId="77777777" w:rsidR="00B764FC" w:rsidRDefault="00B764FC">
      <w:pPr>
        <w:rPr>
          <w:noProof/>
        </w:rPr>
      </w:pPr>
    </w:p>
    <w:p w14:paraId="3BEBB465" w14:textId="77777777" w:rsidR="00B764FC" w:rsidRDefault="00B764FC">
      <w:pPr>
        <w:rPr>
          <w:noProof/>
        </w:rPr>
      </w:pPr>
    </w:p>
    <w:p w14:paraId="5C746CF8" w14:textId="77777777" w:rsidR="00B764FC" w:rsidRDefault="00B764FC">
      <w:pPr>
        <w:rPr>
          <w:noProof/>
        </w:rPr>
      </w:pPr>
    </w:p>
    <w:p w14:paraId="79853D9B" w14:textId="77777777" w:rsidR="00B764FC" w:rsidRDefault="00B764FC">
      <w:pPr>
        <w:rPr>
          <w:noProof/>
        </w:rPr>
      </w:pPr>
    </w:p>
    <w:p w14:paraId="07996982" w14:textId="77777777" w:rsidR="00B764FC" w:rsidRDefault="00B764FC">
      <w:pPr>
        <w:rPr>
          <w:noProof/>
        </w:rPr>
      </w:pPr>
    </w:p>
    <w:p w14:paraId="23715FFE" w14:textId="77777777" w:rsidR="00B764FC" w:rsidRDefault="00B764FC">
      <w:pPr>
        <w:rPr>
          <w:noProof/>
        </w:rPr>
      </w:pPr>
    </w:p>
    <w:p w14:paraId="4F7C5CDA" w14:textId="77777777" w:rsidR="00B764FC" w:rsidRDefault="00B764FC">
      <w:pPr>
        <w:rPr>
          <w:noProof/>
        </w:rPr>
      </w:pPr>
    </w:p>
    <w:p w14:paraId="7102FF45" w14:textId="77777777" w:rsidR="00B764FC" w:rsidRDefault="00B764FC">
      <w:pPr>
        <w:rPr>
          <w:noProof/>
        </w:rPr>
      </w:pPr>
    </w:p>
    <w:p w14:paraId="1B07DF5F" w14:textId="77777777" w:rsidR="00B764FC" w:rsidRDefault="00B764FC">
      <w:pPr>
        <w:rPr>
          <w:noProof/>
        </w:rPr>
      </w:pPr>
    </w:p>
    <w:p w14:paraId="1811092B" w14:textId="77777777" w:rsidR="00B764FC" w:rsidRDefault="00B764FC">
      <w:pPr>
        <w:rPr>
          <w:noProof/>
        </w:rPr>
      </w:pPr>
    </w:p>
    <w:p w14:paraId="60997F4D" w14:textId="2C70E09E" w:rsidR="00B764FC" w:rsidRDefault="00B764FC" w:rsidP="00692CCA">
      <w:pPr>
        <w:pStyle w:val="Caption"/>
        <w:rPr>
          <w:b/>
          <w:bCs/>
        </w:rPr>
      </w:pPr>
      <w:bookmarkStart w:id="64" w:name="_Ref4423098"/>
      <w:bookmarkStart w:id="65" w:name="_Toc17315081"/>
      <w:bookmarkStart w:id="66" w:name="_Toc22120094"/>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7</w:t>
      </w:r>
      <w:r w:rsidR="00FF5CA4">
        <w:rPr>
          <w:b/>
          <w:bCs/>
        </w:rPr>
        <w:fldChar w:fldCharType="end"/>
      </w:r>
      <w:bookmarkEnd w:id="64"/>
      <w:r>
        <w:rPr>
          <w:b/>
          <w:bCs/>
        </w:rPr>
        <w:t>: Households in Rental and Mortgage Stress – 2016</w:t>
      </w:r>
      <w:bookmarkEnd w:id="65"/>
      <w:bookmarkEnd w:id="66"/>
    </w:p>
    <w:p w14:paraId="7BB58E27" w14:textId="77777777" w:rsidR="00B764FC" w:rsidRDefault="00B764FC" w:rsidP="00692CCA">
      <w:pPr>
        <w:pStyle w:val="TF"/>
      </w:pPr>
      <w:r>
        <w:rPr>
          <w:i/>
          <w:iCs/>
        </w:rPr>
        <w:t>Source</w:t>
      </w:r>
      <w:r>
        <w:t>:</w:t>
      </w:r>
      <w:r>
        <w:tab/>
      </w:r>
      <w:bookmarkStart w:id="67" w:name="_Toc4230665"/>
      <w:r>
        <w:t>ABS, 2016</w:t>
      </w:r>
    </w:p>
    <w:p w14:paraId="7F1B5E8F" w14:textId="77777777" w:rsidR="00B764FC" w:rsidRDefault="00B764FC">
      <w:pPr>
        <w:spacing w:before="240" w:line="276" w:lineRule="auto"/>
        <w:jc w:val="both"/>
        <w:rPr>
          <w:b/>
          <w:bCs/>
          <w:sz w:val="22"/>
          <w:szCs w:val="22"/>
        </w:rPr>
      </w:pPr>
      <w:r>
        <w:rPr>
          <w:b/>
          <w:bCs/>
          <w:sz w:val="22"/>
          <w:szCs w:val="22"/>
        </w:rPr>
        <w:t>Rental stress</w:t>
      </w:r>
    </w:p>
    <w:p w14:paraId="58077F78" w14:textId="77777777" w:rsidR="00B764FC" w:rsidRDefault="00B764FC">
      <w:pPr>
        <w:spacing w:before="240" w:after="240" w:line="276" w:lineRule="auto"/>
        <w:jc w:val="both"/>
        <w:rPr>
          <w:sz w:val="22"/>
          <w:szCs w:val="22"/>
        </w:rPr>
      </w:pPr>
      <w:r>
        <w:rPr>
          <w:sz w:val="22"/>
          <w:szCs w:val="22"/>
        </w:rPr>
        <w:t>Households experiencing rental stress are generally considered to be more at risk of homelessness than households experiencing mortgage stress, for the following reasons:</w:t>
      </w:r>
    </w:p>
    <w:p w14:paraId="32B2119C"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 xml:space="preserve">Households that rent privately are at risk of eviction for non-payment of rent, as well as other issues, and are at risk of rent increases at the discretion of the landlord, as well as adverse actions by landlords.  </w:t>
      </w:r>
    </w:p>
    <w:p w14:paraId="745A608A"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Households with a mortgage have greater tenure security, are subject to interest rate movements, and may be able to realise capital from the equity in their property if ever forced to sell.  Once in the rental market, they may no longer experience housing stress.</w:t>
      </w:r>
    </w:p>
    <w:p w14:paraId="4A368A4A" w14:textId="77777777" w:rsidR="00B764FC" w:rsidRDefault="00B764FC">
      <w:pPr>
        <w:spacing w:line="276" w:lineRule="auto"/>
        <w:jc w:val="both"/>
        <w:rPr>
          <w:sz w:val="22"/>
          <w:szCs w:val="22"/>
        </w:rPr>
      </w:pPr>
      <w:r>
        <w:rPr>
          <w:sz w:val="22"/>
          <w:szCs w:val="22"/>
        </w:rPr>
        <w:lastRenderedPageBreak/>
        <w:t>For these reasons, rental stress is used in the calculation of demand for social housing. Social housing is provided to people who are renting, on low incomes, and who are paying a relatively high proportion of their income as rent. Many such households are in receipt of government income support.</w:t>
      </w:r>
      <w:bookmarkStart w:id="68" w:name="_Toc4230667"/>
    </w:p>
    <w:p w14:paraId="296411F9" w14:textId="77777777" w:rsidR="00B764FC" w:rsidRDefault="00B764FC">
      <w:pPr>
        <w:spacing w:line="276" w:lineRule="auto"/>
        <w:jc w:val="both"/>
        <w:rPr>
          <w:sz w:val="22"/>
          <w:szCs w:val="22"/>
        </w:rPr>
      </w:pPr>
    </w:p>
    <w:p w14:paraId="7F12562B" w14:textId="77777777" w:rsidR="00B764FC" w:rsidRDefault="00B764FC">
      <w:pPr>
        <w:pStyle w:val="Heading4"/>
        <w:spacing w:after="240"/>
        <w:rPr>
          <w:rFonts w:ascii="Calibri" w:hAnsi="Calibri" w:cs="Calibri"/>
          <w:b/>
          <w:bCs/>
          <w:i w:val="0"/>
          <w:iCs w:val="0"/>
          <w:color w:val="auto"/>
        </w:rPr>
      </w:pPr>
      <w:r>
        <w:rPr>
          <w:rFonts w:ascii="Calibri" w:hAnsi="Calibri" w:cs="Calibri"/>
          <w:b/>
          <w:bCs/>
          <w:i w:val="0"/>
          <w:iCs w:val="0"/>
          <w:color w:val="auto"/>
        </w:rPr>
        <w:t>Recent trends</w:t>
      </w:r>
      <w:bookmarkEnd w:id="68"/>
      <w:r>
        <w:rPr>
          <w:rFonts w:ascii="Calibri" w:hAnsi="Calibri" w:cs="Calibri"/>
          <w:b/>
          <w:bCs/>
          <w:i w:val="0"/>
          <w:iCs w:val="0"/>
          <w:color w:val="auto"/>
        </w:rPr>
        <w:t xml:space="preserve"> in housing rental stress</w:t>
      </w:r>
    </w:p>
    <w:p w14:paraId="7D80B238" w14:textId="77777777" w:rsidR="00B764FC" w:rsidRDefault="00B764FC">
      <w:pPr>
        <w:spacing w:line="276" w:lineRule="auto"/>
        <w:jc w:val="both"/>
        <w:rPr>
          <w:sz w:val="22"/>
          <w:szCs w:val="22"/>
        </w:rPr>
      </w:pPr>
      <w:r>
        <w:rPr>
          <w:sz w:val="22"/>
          <w:szCs w:val="22"/>
        </w:rPr>
        <w:t xml:space="preserve">The proportion of households living in rental stress in Geelong has increased overall by 3%, from 30% in 2011 to 33% in 2016.  Some areas such as Corio and Norlane have experienced a greater increase (7%), and some have experienced a small reduction.  These changes need to be considered in the context of a </w:t>
      </w:r>
      <w:r>
        <w:rPr>
          <w:b/>
          <w:bCs/>
          <w:sz w:val="22"/>
          <w:szCs w:val="22"/>
        </w:rPr>
        <w:t>20% increase in the number of households renting privately 2011 - 2016</w:t>
      </w:r>
      <w:r>
        <w:rPr>
          <w:sz w:val="22"/>
          <w:szCs w:val="22"/>
        </w:rPr>
        <w:t>.</w:t>
      </w:r>
    </w:p>
    <w:p w14:paraId="4D41FF43" w14:textId="77777777" w:rsidR="00B764FC" w:rsidRDefault="00B764FC">
      <w:pPr>
        <w:spacing w:line="276" w:lineRule="auto"/>
        <w:jc w:val="both"/>
        <w:rPr>
          <w:sz w:val="22"/>
          <w:szCs w:val="22"/>
        </w:rPr>
      </w:pPr>
    </w:p>
    <w:p w14:paraId="77EA7CFC" w14:textId="77777777" w:rsidR="00B764FC" w:rsidRDefault="00A92396">
      <w:pPr>
        <w:spacing w:line="276" w:lineRule="auto"/>
        <w:jc w:val="both"/>
        <w:rPr>
          <w:sz w:val="22"/>
          <w:szCs w:val="22"/>
        </w:rPr>
      </w:pPr>
      <w:r>
        <w:rPr>
          <w:noProof/>
          <w:lang w:eastAsia="en-AU"/>
        </w:rPr>
        <w:drawing>
          <wp:anchor distT="0" distB="0" distL="114300" distR="114300" simplePos="0" relativeHeight="251656704" behindDoc="0" locked="0" layoutInCell="0" allowOverlap="1" wp14:anchorId="6A25E0AF" wp14:editId="4A299581">
            <wp:simplePos x="0" y="0"/>
            <wp:positionH relativeFrom="margin">
              <wp:posOffset>0</wp:posOffset>
            </wp:positionH>
            <wp:positionV relativeFrom="paragraph">
              <wp:posOffset>8890</wp:posOffset>
            </wp:positionV>
            <wp:extent cx="5680710" cy="4575810"/>
            <wp:effectExtent l="19050" t="0" r="0" b="0"/>
            <wp:wrapNone/>
            <wp:docPr id="1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680710" cy="4575810"/>
                    </a:xfrm>
                    <a:prstGeom prst="rect">
                      <a:avLst/>
                    </a:prstGeom>
                    <a:noFill/>
                  </pic:spPr>
                </pic:pic>
              </a:graphicData>
            </a:graphic>
          </wp:anchor>
        </w:drawing>
      </w:r>
      <w:r w:rsidR="00B764FC">
        <w:rPr>
          <w:noProof/>
        </w:rPr>
        <w:t>1001</w:t>
      </w:r>
    </w:p>
    <w:p w14:paraId="79C9D2F8" w14:textId="77777777" w:rsidR="00B764FC" w:rsidRDefault="00B764FC">
      <w:pPr>
        <w:spacing w:line="276" w:lineRule="auto"/>
        <w:jc w:val="both"/>
        <w:rPr>
          <w:sz w:val="22"/>
          <w:szCs w:val="22"/>
        </w:rPr>
      </w:pPr>
    </w:p>
    <w:p w14:paraId="4EAF6503" w14:textId="77777777" w:rsidR="00B764FC" w:rsidRDefault="00B764FC">
      <w:pPr>
        <w:spacing w:line="276" w:lineRule="auto"/>
        <w:jc w:val="both"/>
        <w:rPr>
          <w:sz w:val="22"/>
          <w:szCs w:val="22"/>
        </w:rPr>
      </w:pPr>
    </w:p>
    <w:p w14:paraId="39C2F3BD" w14:textId="77777777" w:rsidR="00B764FC" w:rsidRDefault="00B764FC">
      <w:pPr>
        <w:spacing w:line="276" w:lineRule="auto"/>
        <w:jc w:val="both"/>
        <w:rPr>
          <w:sz w:val="22"/>
          <w:szCs w:val="22"/>
        </w:rPr>
      </w:pPr>
    </w:p>
    <w:p w14:paraId="070D76BA" w14:textId="77777777" w:rsidR="00B764FC" w:rsidRDefault="00B764FC">
      <w:pPr>
        <w:spacing w:line="276" w:lineRule="auto"/>
        <w:jc w:val="both"/>
        <w:rPr>
          <w:sz w:val="22"/>
          <w:szCs w:val="22"/>
        </w:rPr>
      </w:pPr>
    </w:p>
    <w:p w14:paraId="2A90619D" w14:textId="77777777" w:rsidR="00B764FC" w:rsidRDefault="00B764FC">
      <w:pPr>
        <w:spacing w:line="276" w:lineRule="auto"/>
        <w:jc w:val="both"/>
      </w:pPr>
    </w:p>
    <w:p w14:paraId="7FFD85AB" w14:textId="77777777" w:rsidR="00B764FC" w:rsidRDefault="00B764FC"/>
    <w:p w14:paraId="3BFDF5D2" w14:textId="77777777" w:rsidR="00B764FC" w:rsidRDefault="00B764FC"/>
    <w:p w14:paraId="18CC4724" w14:textId="77777777" w:rsidR="00B764FC" w:rsidRDefault="00B764FC"/>
    <w:p w14:paraId="6FD1FF5A" w14:textId="77777777" w:rsidR="00B764FC" w:rsidRDefault="00B764FC"/>
    <w:p w14:paraId="663E0047" w14:textId="77777777" w:rsidR="00B764FC" w:rsidRDefault="00B764FC"/>
    <w:p w14:paraId="739D82E0" w14:textId="77777777" w:rsidR="00B764FC" w:rsidRDefault="00B764FC"/>
    <w:p w14:paraId="7CB2B878" w14:textId="77777777" w:rsidR="00B764FC" w:rsidRDefault="00B764FC"/>
    <w:p w14:paraId="6F5BBF6A" w14:textId="77777777" w:rsidR="00B764FC" w:rsidRDefault="00B764FC"/>
    <w:p w14:paraId="2DCB2E09" w14:textId="77777777" w:rsidR="00B764FC" w:rsidRDefault="00B764FC"/>
    <w:p w14:paraId="66B1D1BB" w14:textId="77777777" w:rsidR="00B764FC" w:rsidRDefault="00B764FC"/>
    <w:p w14:paraId="4EC7D131" w14:textId="77777777" w:rsidR="00B764FC" w:rsidRDefault="00B764FC"/>
    <w:p w14:paraId="62B131F8" w14:textId="77777777" w:rsidR="00B764FC" w:rsidRDefault="00B764FC"/>
    <w:p w14:paraId="42D6E9E2" w14:textId="77777777" w:rsidR="00B764FC" w:rsidRDefault="00B764FC">
      <w:r>
        <w:t>\\</w:t>
      </w:r>
    </w:p>
    <w:p w14:paraId="49D7676E" w14:textId="77777777" w:rsidR="00B764FC" w:rsidRDefault="00B764FC"/>
    <w:p w14:paraId="67A7C91D" w14:textId="77777777" w:rsidR="00B764FC" w:rsidRDefault="00B764FC"/>
    <w:p w14:paraId="2ADB5BCA" w14:textId="77777777" w:rsidR="00B764FC" w:rsidRDefault="00B764FC"/>
    <w:p w14:paraId="3C5D30B2" w14:textId="77777777" w:rsidR="00B764FC" w:rsidRDefault="00B764FC"/>
    <w:p w14:paraId="5E21EE1C" w14:textId="77777777" w:rsidR="00B764FC" w:rsidRDefault="00B764FC"/>
    <w:p w14:paraId="56B89305" w14:textId="77777777" w:rsidR="00B764FC" w:rsidRDefault="00B764FC">
      <w:pPr>
        <w:pStyle w:val="Caption"/>
        <w:ind w:left="1440" w:hanging="1440"/>
      </w:pPr>
      <w:bookmarkStart w:id="69" w:name="_Ref4431372"/>
      <w:bookmarkStart w:id="70" w:name="_Toc17315082"/>
    </w:p>
    <w:p w14:paraId="01ED0169" w14:textId="751DBC23" w:rsidR="00B764FC" w:rsidRDefault="00B764FC">
      <w:pPr>
        <w:pStyle w:val="Caption"/>
        <w:ind w:left="1440" w:hanging="1440"/>
        <w:rPr>
          <w:b/>
          <w:bCs/>
        </w:rPr>
      </w:pPr>
      <w:bookmarkStart w:id="71" w:name="_Toc22120095"/>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8</w:t>
      </w:r>
      <w:r w:rsidR="00FF5CA4">
        <w:rPr>
          <w:b/>
          <w:bCs/>
        </w:rPr>
        <w:fldChar w:fldCharType="end"/>
      </w:r>
      <w:bookmarkEnd w:id="69"/>
      <w:r>
        <w:rPr>
          <w:b/>
          <w:bCs/>
        </w:rPr>
        <w:t>: Households Experiencing Rental Stress – Percentage change 2011 - 2016</w:t>
      </w:r>
      <w:bookmarkEnd w:id="70"/>
      <w:bookmarkEnd w:id="71"/>
    </w:p>
    <w:p w14:paraId="7C5BBD68" w14:textId="77777777" w:rsidR="00B764FC" w:rsidRDefault="00B764FC">
      <w:pPr>
        <w:pStyle w:val="TF"/>
      </w:pPr>
      <w:r>
        <w:rPr>
          <w:i/>
          <w:iCs/>
        </w:rPr>
        <w:t>Source</w:t>
      </w:r>
      <w:r>
        <w:t>:</w:t>
      </w:r>
      <w:r>
        <w:tab/>
        <w:t>ABS, 2011 and 2016</w:t>
      </w:r>
    </w:p>
    <w:bookmarkEnd w:id="67"/>
    <w:p w14:paraId="667E3BB0" w14:textId="77777777" w:rsidR="00B764FC" w:rsidRDefault="00B764FC">
      <w:pPr>
        <w:pStyle w:val="Heading3"/>
        <w:spacing w:line="276" w:lineRule="auto"/>
        <w:jc w:val="both"/>
        <w:rPr>
          <w:rFonts w:ascii="Calibri" w:hAnsi="Calibri" w:cs="Calibri"/>
          <w:b/>
          <w:bCs/>
          <w:i w:val="0"/>
          <w:iCs w:val="0"/>
        </w:rPr>
      </w:pPr>
      <w:r>
        <w:br w:type="column"/>
      </w:r>
      <w:r>
        <w:rPr>
          <w:rFonts w:ascii="Calibri" w:hAnsi="Calibri" w:cs="Calibri"/>
          <w:b/>
          <w:bCs/>
          <w:i w:val="0"/>
          <w:iCs w:val="0"/>
        </w:rPr>
        <w:lastRenderedPageBreak/>
        <w:t>How many people are homeless in Geelong?</w:t>
      </w:r>
    </w:p>
    <w:p w14:paraId="13C4B7EA" w14:textId="77777777" w:rsidR="00B764FC" w:rsidRDefault="00B764FC">
      <w:pPr>
        <w:spacing w:before="240" w:after="240" w:line="276" w:lineRule="auto"/>
        <w:jc w:val="both"/>
        <w:rPr>
          <w:sz w:val="22"/>
          <w:szCs w:val="22"/>
        </w:rPr>
      </w:pPr>
      <w:r>
        <w:rPr>
          <w:sz w:val="22"/>
          <w:szCs w:val="22"/>
        </w:rPr>
        <w:t>The total number of homeless people in Geelong was approximately 700 on census night, with a further 431 marginally housed.  Table 6 shows the various categories of homelessness.  Major reasons for homelessness include housing crisis, financial difficulties, relationship breakdown, and escaping family violence.</w:t>
      </w:r>
      <w:r>
        <w:rPr>
          <w:rStyle w:val="FootnoteReference"/>
          <w:sz w:val="22"/>
          <w:szCs w:val="22"/>
        </w:rPr>
        <w:footnoteReference w:id="7"/>
      </w:r>
      <w:r>
        <w:rPr>
          <w:sz w:val="22"/>
          <w:szCs w:val="22"/>
        </w:rPr>
        <w:t xml:space="preserve">  </w:t>
      </w:r>
    </w:p>
    <w:p w14:paraId="7CD051D6" w14:textId="32DA826A" w:rsidR="00B764FC" w:rsidRDefault="00B764FC">
      <w:pPr>
        <w:pStyle w:val="Caption"/>
        <w:rPr>
          <w:b/>
          <w:bCs/>
        </w:rPr>
      </w:pPr>
      <w:bookmarkStart w:id="72" w:name="_Toc4418797"/>
      <w:bookmarkStart w:id="73" w:name="_Toc4508301"/>
      <w:bookmarkStart w:id="74" w:name="_Toc22120043"/>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8</w:t>
      </w:r>
      <w:r w:rsidR="00FF5CA4">
        <w:rPr>
          <w:b/>
          <w:bCs/>
        </w:rPr>
        <w:fldChar w:fldCharType="end"/>
      </w:r>
      <w:r>
        <w:rPr>
          <w:b/>
          <w:bCs/>
        </w:rPr>
        <w:t>:</w:t>
      </w:r>
      <w:r>
        <w:rPr>
          <w:b/>
          <w:bCs/>
        </w:rPr>
        <w:tab/>
        <w:t>Homeless Persons by Type of Homelessness – 2016</w:t>
      </w:r>
      <w:bookmarkEnd w:id="72"/>
      <w:bookmarkEnd w:id="73"/>
      <w:bookmarkEnd w:id="74"/>
    </w:p>
    <w:tbl>
      <w:tblPr>
        <w:tblW w:w="0" w:type="auto"/>
        <w:tblInd w:w="-28" w:type="dxa"/>
        <w:tblBorders>
          <w:top w:val="single" w:sz="4" w:space="0" w:color="auto"/>
          <w:bottom w:val="single" w:sz="4" w:space="0" w:color="auto"/>
          <w:insideH w:val="single" w:sz="4" w:space="0" w:color="auto"/>
        </w:tblBorders>
        <w:tblLayout w:type="fixed"/>
        <w:tblCellMar>
          <w:left w:w="30" w:type="dxa"/>
          <w:right w:w="30" w:type="dxa"/>
        </w:tblCellMar>
        <w:tblLook w:val="0000" w:firstRow="0" w:lastRow="0" w:firstColumn="0" w:lastColumn="0" w:noHBand="0" w:noVBand="0"/>
      </w:tblPr>
      <w:tblGrid>
        <w:gridCol w:w="5335"/>
        <w:gridCol w:w="3879"/>
      </w:tblGrid>
      <w:tr w:rsidR="00B764FC" w14:paraId="4316FA92" w14:textId="77777777" w:rsidTr="004B2308">
        <w:trPr>
          <w:trHeight w:val="290"/>
          <w:tblHeader/>
        </w:trPr>
        <w:tc>
          <w:tcPr>
            <w:tcW w:w="5335" w:type="dxa"/>
            <w:tcBorders>
              <w:left w:val="nil"/>
              <w:right w:val="nil"/>
            </w:tcBorders>
            <w:shd w:val="clear" w:color="auto" w:fill="002060"/>
          </w:tcPr>
          <w:p w14:paraId="5EE08A08" w14:textId="77777777" w:rsidR="00B764FC" w:rsidRDefault="00B764FC">
            <w:pPr>
              <w:rPr>
                <w:b/>
                <w:bCs/>
                <w:snapToGrid w:val="0"/>
                <w:color w:val="FFFFFF"/>
                <w:sz w:val="20"/>
                <w:szCs w:val="20"/>
              </w:rPr>
            </w:pPr>
            <w:r>
              <w:rPr>
                <w:b/>
                <w:bCs/>
                <w:snapToGrid w:val="0"/>
                <w:color w:val="FFFFFF"/>
                <w:sz w:val="20"/>
                <w:szCs w:val="20"/>
              </w:rPr>
              <w:t>Homeless circumstances on census night</w:t>
            </w:r>
          </w:p>
        </w:tc>
        <w:tc>
          <w:tcPr>
            <w:tcW w:w="3879" w:type="dxa"/>
            <w:tcBorders>
              <w:left w:val="nil"/>
              <w:right w:val="nil"/>
            </w:tcBorders>
            <w:shd w:val="clear" w:color="auto" w:fill="002060"/>
          </w:tcPr>
          <w:p w14:paraId="671C4885" w14:textId="77777777" w:rsidR="00B764FC" w:rsidRDefault="00B764FC">
            <w:pPr>
              <w:jc w:val="center"/>
              <w:rPr>
                <w:b/>
                <w:bCs/>
                <w:snapToGrid w:val="0"/>
                <w:color w:val="FFFFFF"/>
                <w:sz w:val="20"/>
                <w:szCs w:val="20"/>
              </w:rPr>
            </w:pPr>
            <w:r>
              <w:rPr>
                <w:b/>
                <w:bCs/>
                <w:snapToGrid w:val="0"/>
                <w:color w:val="FFFFFF"/>
                <w:sz w:val="20"/>
                <w:szCs w:val="20"/>
              </w:rPr>
              <w:t>Number</w:t>
            </w:r>
          </w:p>
        </w:tc>
      </w:tr>
      <w:tr w:rsidR="00B764FC" w14:paraId="2CA6B891" w14:textId="77777777">
        <w:trPr>
          <w:trHeight w:val="290"/>
        </w:trPr>
        <w:tc>
          <w:tcPr>
            <w:tcW w:w="5335" w:type="dxa"/>
            <w:tcBorders>
              <w:left w:val="nil"/>
              <w:right w:val="nil"/>
            </w:tcBorders>
          </w:tcPr>
          <w:p w14:paraId="63978E3A" w14:textId="77777777" w:rsidR="00B764FC" w:rsidRDefault="00B764FC">
            <w:pPr>
              <w:spacing w:before="60"/>
              <w:rPr>
                <w:snapToGrid w:val="0"/>
                <w:color w:val="000000"/>
                <w:sz w:val="20"/>
                <w:szCs w:val="20"/>
              </w:rPr>
            </w:pPr>
            <w:r>
              <w:rPr>
                <w:snapToGrid w:val="0"/>
                <w:color w:val="000000"/>
                <w:sz w:val="20"/>
                <w:szCs w:val="20"/>
              </w:rPr>
              <w:t>Living in improvised dwellings, tents, or sleeping out</w:t>
            </w:r>
          </w:p>
        </w:tc>
        <w:tc>
          <w:tcPr>
            <w:tcW w:w="3879" w:type="dxa"/>
            <w:tcBorders>
              <w:left w:val="nil"/>
              <w:right w:val="nil"/>
            </w:tcBorders>
          </w:tcPr>
          <w:p w14:paraId="48382315" w14:textId="77777777" w:rsidR="00B764FC" w:rsidRDefault="00B764FC">
            <w:pPr>
              <w:spacing w:before="60"/>
              <w:ind w:right="396"/>
              <w:jc w:val="center"/>
              <w:rPr>
                <w:snapToGrid w:val="0"/>
                <w:color w:val="000000"/>
                <w:sz w:val="20"/>
                <w:szCs w:val="20"/>
              </w:rPr>
            </w:pPr>
            <w:r>
              <w:rPr>
                <w:snapToGrid w:val="0"/>
                <w:color w:val="000000"/>
                <w:sz w:val="20"/>
                <w:szCs w:val="20"/>
              </w:rPr>
              <w:t>67</w:t>
            </w:r>
          </w:p>
        </w:tc>
      </w:tr>
      <w:tr w:rsidR="00B764FC" w14:paraId="553D519F" w14:textId="77777777">
        <w:trPr>
          <w:trHeight w:val="290"/>
        </w:trPr>
        <w:tc>
          <w:tcPr>
            <w:tcW w:w="5335" w:type="dxa"/>
            <w:tcBorders>
              <w:left w:val="nil"/>
              <w:right w:val="nil"/>
            </w:tcBorders>
            <w:shd w:val="clear" w:color="auto" w:fill="FFFFFF"/>
          </w:tcPr>
          <w:p w14:paraId="130367A6" w14:textId="77777777" w:rsidR="00B764FC" w:rsidRDefault="00B764FC">
            <w:pPr>
              <w:spacing w:before="60"/>
              <w:rPr>
                <w:snapToGrid w:val="0"/>
                <w:color w:val="000000"/>
                <w:sz w:val="20"/>
                <w:szCs w:val="20"/>
              </w:rPr>
            </w:pPr>
            <w:r>
              <w:rPr>
                <w:snapToGrid w:val="0"/>
                <w:color w:val="000000"/>
                <w:sz w:val="20"/>
                <w:szCs w:val="20"/>
              </w:rPr>
              <w:t>Living in supported accommodation for the homeless</w:t>
            </w:r>
          </w:p>
        </w:tc>
        <w:tc>
          <w:tcPr>
            <w:tcW w:w="3879" w:type="dxa"/>
            <w:tcBorders>
              <w:left w:val="nil"/>
              <w:right w:val="nil"/>
            </w:tcBorders>
            <w:shd w:val="clear" w:color="auto" w:fill="FFFFFF"/>
          </w:tcPr>
          <w:p w14:paraId="04ABFE09" w14:textId="77777777" w:rsidR="00B764FC" w:rsidRDefault="00B764FC">
            <w:pPr>
              <w:spacing w:before="60"/>
              <w:ind w:right="396"/>
              <w:jc w:val="center"/>
              <w:rPr>
                <w:snapToGrid w:val="0"/>
                <w:color w:val="000000"/>
                <w:sz w:val="20"/>
                <w:szCs w:val="20"/>
              </w:rPr>
            </w:pPr>
            <w:r>
              <w:rPr>
                <w:snapToGrid w:val="0"/>
                <w:color w:val="000000"/>
                <w:sz w:val="20"/>
                <w:szCs w:val="20"/>
              </w:rPr>
              <w:t>252</w:t>
            </w:r>
          </w:p>
        </w:tc>
      </w:tr>
      <w:tr w:rsidR="00B764FC" w14:paraId="5EF95E4A" w14:textId="77777777">
        <w:trPr>
          <w:trHeight w:val="290"/>
        </w:trPr>
        <w:tc>
          <w:tcPr>
            <w:tcW w:w="5335" w:type="dxa"/>
            <w:tcBorders>
              <w:left w:val="nil"/>
              <w:right w:val="nil"/>
            </w:tcBorders>
          </w:tcPr>
          <w:p w14:paraId="2C711D00" w14:textId="77777777" w:rsidR="00B764FC" w:rsidRDefault="00B764FC">
            <w:pPr>
              <w:spacing w:before="60"/>
              <w:rPr>
                <w:snapToGrid w:val="0"/>
                <w:color w:val="000000"/>
                <w:sz w:val="20"/>
                <w:szCs w:val="20"/>
              </w:rPr>
            </w:pPr>
            <w:r>
              <w:rPr>
                <w:snapToGrid w:val="0"/>
                <w:color w:val="000000"/>
                <w:sz w:val="20"/>
                <w:szCs w:val="20"/>
              </w:rPr>
              <w:t>Staying temporarily with other households</w:t>
            </w:r>
          </w:p>
        </w:tc>
        <w:tc>
          <w:tcPr>
            <w:tcW w:w="3879" w:type="dxa"/>
            <w:tcBorders>
              <w:left w:val="nil"/>
              <w:right w:val="nil"/>
            </w:tcBorders>
          </w:tcPr>
          <w:p w14:paraId="0A72537B" w14:textId="77777777" w:rsidR="00B764FC" w:rsidRDefault="00B764FC">
            <w:pPr>
              <w:spacing w:before="60"/>
              <w:ind w:right="396"/>
              <w:jc w:val="center"/>
              <w:rPr>
                <w:snapToGrid w:val="0"/>
                <w:color w:val="000000"/>
                <w:sz w:val="20"/>
                <w:szCs w:val="20"/>
              </w:rPr>
            </w:pPr>
            <w:r>
              <w:rPr>
                <w:snapToGrid w:val="0"/>
                <w:color w:val="000000"/>
                <w:sz w:val="20"/>
                <w:szCs w:val="20"/>
              </w:rPr>
              <w:t>121</w:t>
            </w:r>
          </w:p>
        </w:tc>
      </w:tr>
      <w:tr w:rsidR="00B764FC" w14:paraId="4D0F0A95" w14:textId="77777777">
        <w:trPr>
          <w:trHeight w:val="290"/>
        </w:trPr>
        <w:tc>
          <w:tcPr>
            <w:tcW w:w="5335" w:type="dxa"/>
            <w:tcBorders>
              <w:left w:val="nil"/>
              <w:right w:val="nil"/>
            </w:tcBorders>
            <w:shd w:val="clear" w:color="auto" w:fill="FFFFFF"/>
          </w:tcPr>
          <w:p w14:paraId="1FA31719" w14:textId="77777777" w:rsidR="00B764FC" w:rsidRDefault="00B764FC">
            <w:pPr>
              <w:spacing w:before="60"/>
              <w:rPr>
                <w:snapToGrid w:val="0"/>
                <w:color w:val="000000"/>
                <w:sz w:val="20"/>
                <w:szCs w:val="20"/>
              </w:rPr>
            </w:pPr>
            <w:r>
              <w:rPr>
                <w:snapToGrid w:val="0"/>
                <w:color w:val="000000"/>
                <w:sz w:val="20"/>
                <w:szCs w:val="20"/>
              </w:rPr>
              <w:t>Living in boarding houses</w:t>
            </w:r>
          </w:p>
        </w:tc>
        <w:tc>
          <w:tcPr>
            <w:tcW w:w="3879" w:type="dxa"/>
            <w:tcBorders>
              <w:left w:val="nil"/>
              <w:right w:val="nil"/>
            </w:tcBorders>
            <w:shd w:val="clear" w:color="auto" w:fill="FFFFFF"/>
          </w:tcPr>
          <w:p w14:paraId="4EB9E83B" w14:textId="77777777" w:rsidR="00B764FC" w:rsidRDefault="00B764FC">
            <w:pPr>
              <w:spacing w:before="60"/>
              <w:ind w:right="396"/>
              <w:jc w:val="center"/>
              <w:rPr>
                <w:snapToGrid w:val="0"/>
                <w:color w:val="000000"/>
                <w:sz w:val="20"/>
                <w:szCs w:val="20"/>
              </w:rPr>
            </w:pPr>
            <w:r>
              <w:rPr>
                <w:snapToGrid w:val="0"/>
                <w:color w:val="000000"/>
                <w:sz w:val="20"/>
                <w:szCs w:val="20"/>
              </w:rPr>
              <w:t>113</w:t>
            </w:r>
          </w:p>
        </w:tc>
      </w:tr>
      <w:tr w:rsidR="00B764FC" w14:paraId="40C528CF" w14:textId="77777777">
        <w:trPr>
          <w:trHeight w:val="290"/>
        </w:trPr>
        <w:tc>
          <w:tcPr>
            <w:tcW w:w="5335" w:type="dxa"/>
            <w:tcBorders>
              <w:left w:val="nil"/>
              <w:right w:val="nil"/>
            </w:tcBorders>
          </w:tcPr>
          <w:p w14:paraId="5515C63A" w14:textId="77777777" w:rsidR="00B764FC" w:rsidRDefault="00B764FC">
            <w:pPr>
              <w:spacing w:before="60"/>
              <w:rPr>
                <w:snapToGrid w:val="0"/>
                <w:color w:val="000000"/>
                <w:sz w:val="20"/>
                <w:szCs w:val="20"/>
              </w:rPr>
            </w:pPr>
            <w:r>
              <w:rPr>
                <w:snapToGrid w:val="0"/>
                <w:color w:val="000000"/>
                <w:sz w:val="20"/>
                <w:szCs w:val="20"/>
              </w:rPr>
              <w:t>Living in other temporary lodgings</w:t>
            </w:r>
          </w:p>
        </w:tc>
        <w:tc>
          <w:tcPr>
            <w:tcW w:w="3879" w:type="dxa"/>
            <w:tcBorders>
              <w:left w:val="nil"/>
              <w:right w:val="nil"/>
            </w:tcBorders>
          </w:tcPr>
          <w:p w14:paraId="3F627F94" w14:textId="77777777" w:rsidR="00B764FC" w:rsidRDefault="00B764FC">
            <w:pPr>
              <w:spacing w:before="60"/>
              <w:ind w:right="396"/>
              <w:jc w:val="center"/>
              <w:rPr>
                <w:snapToGrid w:val="0"/>
                <w:color w:val="000000"/>
                <w:sz w:val="20"/>
                <w:szCs w:val="20"/>
              </w:rPr>
            </w:pPr>
            <w:r>
              <w:rPr>
                <w:snapToGrid w:val="0"/>
                <w:color w:val="000000"/>
                <w:sz w:val="20"/>
                <w:szCs w:val="20"/>
              </w:rPr>
              <w:t>0</w:t>
            </w:r>
          </w:p>
        </w:tc>
      </w:tr>
      <w:tr w:rsidR="00B764FC" w14:paraId="35E9A3C3" w14:textId="77777777">
        <w:trPr>
          <w:trHeight w:val="290"/>
        </w:trPr>
        <w:tc>
          <w:tcPr>
            <w:tcW w:w="5335" w:type="dxa"/>
            <w:tcBorders>
              <w:left w:val="nil"/>
              <w:right w:val="nil"/>
            </w:tcBorders>
            <w:shd w:val="clear" w:color="auto" w:fill="FFFFFF"/>
          </w:tcPr>
          <w:p w14:paraId="66BB5115" w14:textId="77777777" w:rsidR="00B764FC" w:rsidRDefault="00B764FC">
            <w:pPr>
              <w:spacing w:before="60"/>
              <w:rPr>
                <w:snapToGrid w:val="0"/>
                <w:color w:val="000000"/>
                <w:sz w:val="20"/>
                <w:szCs w:val="20"/>
              </w:rPr>
            </w:pPr>
            <w:r>
              <w:rPr>
                <w:snapToGrid w:val="0"/>
                <w:color w:val="000000"/>
                <w:sz w:val="20"/>
                <w:szCs w:val="20"/>
              </w:rPr>
              <w:t>Living in 'severely' crowded dwellings</w:t>
            </w:r>
          </w:p>
        </w:tc>
        <w:tc>
          <w:tcPr>
            <w:tcW w:w="3879" w:type="dxa"/>
            <w:tcBorders>
              <w:left w:val="nil"/>
              <w:right w:val="nil"/>
            </w:tcBorders>
            <w:shd w:val="clear" w:color="auto" w:fill="FFFFFF"/>
          </w:tcPr>
          <w:p w14:paraId="3B228233" w14:textId="77777777" w:rsidR="00B764FC" w:rsidRDefault="00B764FC">
            <w:pPr>
              <w:spacing w:before="60"/>
              <w:ind w:right="396"/>
              <w:jc w:val="center"/>
              <w:rPr>
                <w:snapToGrid w:val="0"/>
                <w:color w:val="000000"/>
                <w:sz w:val="20"/>
                <w:szCs w:val="20"/>
              </w:rPr>
            </w:pPr>
            <w:r>
              <w:rPr>
                <w:snapToGrid w:val="0"/>
                <w:color w:val="000000"/>
                <w:sz w:val="20"/>
                <w:szCs w:val="20"/>
              </w:rPr>
              <w:t>157</w:t>
            </w:r>
          </w:p>
        </w:tc>
      </w:tr>
      <w:tr w:rsidR="00B764FC" w14:paraId="4E471DAD" w14:textId="77777777">
        <w:trPr>
          <w:trHeight w:val="290"/>
        </w:trPr>
        <w:tc>
          <w:tcPr>
            <w:tcW w:w="5335" w:type="dxa"/>
            <w:tcBorders>
              <w:left w:val="nil"/>
              <w:right w:val="nil"/>
            </w:tcBorders>
            <w:shd w:val="clear" w:color="auto" w:fill="C0C0C0"/>
          </w:tcPr>
          <w:p w14:paraId="5F3C4362" w14:textId="77777777" w:rsidR="00B764FC" w:rsidRDefault="00B764FC">
            <w:pPr>
              <w:spacing w:before="60"/>
              <w:rPr>
                <w:b/>
                <w:bCs/>
                <w:i/>
                <w:iCs/>
                <w:snapToGrid w:val="0"/>
                <w:color w:val="000000"/>
                <w:sz w:val="20"/>
                <w:szCs w:val="20"/>
              </w:rPr>
            </w:pPr>
            <w:r>
              <w:rPr>
                <w:b/>
                <w:bCs/>
                <w:i/>
                <w:iCs/>
                <w:snapToGrid w:val="0"/>
                <w:color w:val="000000"/>
                <w:sz w:val="20"/>
                <w:szCs w:val="20"/>
              </w:rPr>
              <w:t xml:space="preserve">Total </w:t>
            </w:r>
          </w:p>
        </w:tc>
        <w:tc>
          <w:tcPr>
            <w:tcW w:w="3879" w:type="dxa"/>
            <w:tcBorders>
              <w:left w:val="nil"/>
              <w:right w:val="nil"/>
            </w:tcBorders>
            <w:shd w:val="clear" w:color="auto" w:fill="C0C0C0"/>
          </w:tcPr>
          <w:p w14:paraId="25F1F4C0" w14:textId="77777777" w:rsidR="00B764FC" w:rsidRDefault="00B764FC">
            <w:pPr>
              <w:spacing w:before="60"/>
              <w:ind w:right="396"/>
              <w:jc w:val="center"/>
              <w:rPr>
                <w:b/>
                <w:bCs/>
                <w:i/>
                <w:iCs/>
                <w:snapToGrid w:val="0"/>
                <w:color w:val="000000"/>
                <w:sz w:val="20"/>
                <w:szCs w:val="20"/>
              </w:rPr>
            </w:pPr>
            <w:r>
              <w:rPr>
                <w:b/>
                <w:bCs/>
                <w:i/>
                <w:iCs/>
                <w:snapToGrid w:val="0"/>
                <w:color w:val="000000"/>
                <w:sz w:val="20"/>
                <w:szCs w:val="20"/>
              </w:rPr>
              <w:t>712</w:t>
            </w:r>
          </w:p>
        </w:tc>
      </w:tr>
      <w:tr w:rsidR="00B764FC" w14:paraId="4EFDFEF3" w14:textId="77777777">
        <w:trPr>
          <w:trHeight w:val="290"/>
        </w:trPr>
        <w:tc>
          <w:tcPr>
            <w:tcW w:w="5335" w:type="dxa"/>
            <w:tcBorders>
              <w:left w:val="nil"/>
              <w:right w:val="nil"/>
            </w:tcBorders>
            <w:shd w:val="clear" w:color="auto" w:fill="C0C0C0"/>
          </w:tcPr>
          <w:p w14:paraId="194A4AF8" w14:textId="77777777" w:rsidR="00B764FC" w:rsidRDefault="00B764FC">
            <w:pPr>
              <w:spacing w:before="60"/>
              <w:rPr>
                <w:b/>
                <w:bCs/>
                <w:snapToGrid w:val="0"/>
                <w:color w:val="FFFFFF"/>
                <w:sz w:val="20"/>
                <w:szCs w:val="20"/>
              </w:rPr>
            </w:pPr>
            <w:r>
              <w:rPr>
                <w:b/>
                <w:bCs/>
                <w:snapToGrid w:val="0"/>
                <w:color w:val="FFFFFF"/>
                <w:sz w:val="20"/>
                <w:szCs w:val="20"/>
              </w:rPr>
              <w:t>Marginally housed on census night</w:t>
            </w:r>
          </w:p>
        </w:tc>
        <w:tc>
          <w:tcPr>
            <w:tcW w:w="3879" w:type="dxa"/>
            <w:tcBorders>
              <w:left w:val="nil"/>
              <w:right w:val="nil"/>
            </w:tcBorders>
            <w:shd w:val="clear" w:color="auto" w:fill="C0C0C0"/>
          </w:tcPr>
          <w:p w14:paraId="522ACCC2" w14:textId="77777777" w:rsidR="00B764FC" w:rsidRDefault="00B764FC">
            <w:pPr>
              <w:spacing w:before="60"/>
              <w:ind w:right="396"/>
              <w:jc w:val="right"/>
              <w:rPr>
                <w:b/>
                <w:bCs/>
                <w:snapToGrid w:val="0"/>
                <w:color w:val="FFFFFF"/>
                <w:sz w:val="20"/>
                <w:szCs w:val="20"/>
              </w:rPr>
            </w:pPr>
          </w:p>
        </w:tc>
      </w:tr>
      <w:tr w:rsidR="00B764FC" w14:paraId="622283D6" w14:textId="77777777">
        <w:trPr>
          <w:trHeight w:val="290"/>
        </w:trPr>
        <w:tc>
          <w:tcPr>
            <w:tcW w:w="5335" w:type="dxa"/>
            <w:tcBorders>
              <w:left w:val="nil"/>
              <w:right w:val="nil"/>
            </w:tcBorders>
          </w:tcPr>
          <w:p w14:paraId="012A8D44" w14:textId="77777777" w:rsidR="00B764FC" w:rsidRDefault="00B764FC">
            <w:pPr>
              <w:spacing w:before="60"/>
              <w:rPr>
                <w:snapToGrid w:val="0"/>
                <w:color w:val="000000"/>
                <w:sz w:val="20"/>
                <w:szCs w:val="20"/>
              </w:rPr>
            </w:pPr>
            <w:r>
              <w:rPr>
                <w:snapToGrid w:val="0"/>
                <w:color w:val="000000"/>
                <w:sz w:val="20"/>
                <w:szCs w:val="20"/>
              </w:rPr>
              <w:t>Living in other crowded dwellings</w:t>
            </w:r>
          </w:p>
        </w:tc>
        <w:tc>
          <w:tcPr>
            <w:tcW w:w="3879" w:type="dxa"/>
            <w:tcBorders>
              <w:left w:val="nil"/>
              <w:right w:val="nil"/>
            </w:tcBorders>
          </w:tcPr>
          <w:p w14:paraId="587A2D23" w14:textId="77777777" w:rsidR="00B764FC" w:rsidRDefault="00B764FC">
            <w:pPr>
              <w:spacing w:before="60"/>
              <w:ind w:right="396"/>
              <w:jc w:val="center"/>
              <w:rPr>
                <w:snapToGrid w:val="0"/>
                <w:color w:val="000000"/>
                <w:sz w:val="20"/>
                <w:szCs w:val="20"/>
              </w:rPr>
            </w:pPr>
            <w:r>
              <w:rPr>
                <w:snapToGrid w:val="0"/>
                <w:color w:val="000000"/>
                <w:sz w:val="20"/>
                <w:szCs w:val="20"/>
              </w:rPr>
              <w:t>315</w:t>
            </w:r>
          </w:p>
        </w:tc>
      </w:tr>
      <w:tr w:rsidR="00B764FC" w14:paraId="766C1E1E" w14:textId="77777777">
        <w:trPr>
          <w:trHeight w:val="290"/>
        </w:trPr>
        <w:tc>
          <w:tcPr>
            <w:tcW w:w="5335" w:type="dxa"/>
            <w:tcBorders>
              <w:left w:val="nil"/>
              <w:right w:val="nil"/>
            </w:tcBorders>
            <w:shd w:val="clear" w:color="auto" w:fill="FFFFFF"/>
          </w:tcPr>
          <w:p w14:paraId="6128922A" w14:textId="77777777" w:rsidR="00B764FC" w:rsidRDefault="00B764FC">
            <w:pPr>
              <w:spacing w:before="60"/>
              <w:rPr>
                <w:snapToGrid w:val="0"/>
                <w:color w:val="000000"/>
                <w:sz w:val="20"/>
                <w:szCs w:val="20"/>
              </w:rPr>
            </w:pPr>
            <w:r>
              <w:rPr>
                <w:snapToGrid w:val="0"/>
                <w:color w:val="000000"/>
                <w:sz w:val="20"/>
                <w:szCs w:val="20"/>
              </w:rPr>
              <w:t>Living in other improvised dwellings</w:t>
            </w:r>
          </w:p>
        </w:tc>
        <w:tc>
          <w:tcPr>
            <w:tcW w:w="3879" w:type="dxa"/>
            <w:tcBorders>
              <w:left w:val="nil"/>
              <w:right w:val="nil"/>
            </w:tcBorders>
            <w:shd w:val="clear" w:color="auto" w:fill="FFFFFF"/>
          </w:tcPr>
          <w:p w14:paraId="6C7C44E6" w14:textId="77777777" w:rsidR="00B764FC" w:rsidRDefault="00B764FC">
            <w:pPr>
              <w:spacing w:before="60"/>
              <w:ind w:right="396"/>
              <w:jc w:val="center"/>
              <w:rPr>
                <w:snapToGrid w:val="0"/>
                <w:color w:val="000000"/>
                <w:sz w:val="20"/>
                <w:szCs w:val="20"/>
              </w:rPr>
            </w:pPr>
            <w:r>
              <w:rPr>
                <w:snapToGrid w:val="0"/>
                <w:color w:val="000000"/>
                <w:sz w:val="20"/>
                <w:szCs w:val="20"/>
              </w:rPr>
              <w:t>6</w:t>
            </w:r>
          </w:p>
        </w:tc>
      </w:tr>
      <w:tr w:rsidR="00B764FC" w14:paraId="6767EB3F" w14:textId="77777777">
        <w:trPr>
          <w:trHeight w:val="290"/>
        </w:trPr>
        <w:tc>
          <w:tcPr>
            <w:tcW w:w="5335" w:type="dxa"/>
            <w:tcBorders>
              <w:left w:val="nil"/>
              <w:right w:val="nil"/>
            </w:tcBorders>
          </w:tcPr>
          <w:p w14:paraId="2CCC5AC3" w14:textId="77777777" w:rsidR="00B764FC" w:rsidRDefault="00B764FC">
            <w:pPr>
              <w:spacing w:before="60"/>
              <w:rPr>
                <w:snapToGrid w:val="0"/>
                <w:color w:val="000000"/>
                <w:sz w:val="20"/>
                <w:szCs w:val="20"/>
              </w:rPr>
            </w:pPr>
            <w:r>
              <w:rPr>
                <w:snapToGrid w:val="0"/>
                <w:color w:val="000000"/>
                <w:sz w:val="20"/>
                <w:szCs w:val="20"/>
              </w:rPr>
              <w:t>Marginally housed in caravan parks</w:t>
            </w:r>
          </w:p>
        </w:tc>
        <w:tc>
          <w:tcPr>
            <w:tcW w:w="3879" w:type="dxa"/>
            <w:tcBorders>
              <w:left w:val="nil"/>
              <w:right w:val="nil"/>
            </w:tcBorders>
          </w:tcPr>
          <w:p w14:paraId="36C2BA0A" w14:textId="77777777" w:rsidR="00B764FC" w:rsidRDefault="00B764FC">
            <w:pPr>
              <w:spacing w:before="60"/>
              <w:ind w:right="396"/>
              <w:jc w:val="center"/>
              <w:rPr>
                <w:snapToGrid w:val="0"/>
                <w:color w:val="000000"/>
                <w:sz w:val="20"/>
                <w:szCs w:val="20"/>
              </w:rPr>
            </w:pPr>
            <w:r>
              <w:rPr>
                <w:snapToGrid w:val="0"/>
                <w:color w:val="000000"/>
                <w:sz w:val="20"/>
                <w:szCs w:val="20"/>
              </w:rPr>
              <w:t>110</w:t>
            </w:r>
          </w:p>
        </w:tc>
      </w:tr>
    </w:tbl>
    <w:p w14:paraId="18B8B305" w14:textId="77777777" w:rsidR="00B764FC" w:rsidRDefault="00B764FC">
      <w:pPr>
        <w:pStyle w:val="TF"/>
      </w:pPr>
      <w:r>
        <w:rPr>
          <w:i/>
          <w:iCs/>
        </w:rPr>
        <w:t>Source</w:t>
      </w:r>
      <w:r>
        <w:t>:</w:t>
      </w:r>
      <w:r>
        <w:tab/>
        <w:t>ABS Census 2016</w:t>
      </w:r>
    </w:p>
    <w:p w14:paraId="00B88636" w14:textId="77777777" w:rsidR="00B764FC" w:rsidRDefault="00B764FC">
      <w:pPr>
        <w:spacing w:before="240" w:after="240" w:line="276" w:lineRule="auto"/>
        <w:jc w:val="both"/>
        <w:rPr>
          <w:sz w:val="22"/>
          <w:szCs w:val="22"/>
          <w:lang w:val="en-US"/>
        </w:rPr>
      </w:pPr>
      <w:r>
        <w:rPr>
          <w:sz w:val="22"/>
          <w:szCs w:val="22"/>
        </w:rPr>
        <w:t xml:space="preserve">The above estimates of people experiencing homelessness are </w:t>
      </w:r>
      <w:r>
        <w:rPr>
          <w:b/>
          <w:bCs/>
          <w:sz w:val="22"/>
          <w:szCs w:val="22"/>
        </w:rPr>
        <w:t>conservative</w:t>
      </w:r>
      <w:r>
        <w:rPr>
          <w:sz w:val="22"/>
          <w:szCs w:val="22"/>
        </w:rPr>
        <w:t xml:space="preserve">, and underestimate the true number of people experiencing homelessness on census night. </w:t>
      </w:r>
      <w:r>
        <w:rPr>
          <w:sz w:val="22"/>
          <w:szCs w:val="22"/>
          <w:lang w:val="en-US"/>
        </w:rPr>
        <w:t xml:space="preserve">In particular, the data underestimates the number of women and children escaping family violence who are seeking assistance with housing.  </w:t>
      </w:r>
    </w:p>
    <w:p w14:paraId="42016C5B" w14:textId="77777777" w:rsidR="00B764FC" w:rsidRDefault="00B764FC">
      <w:pPr>
        <w:spacing w:before="240" w:after="240" w:line="276" w:lineRule="auto"/>
        <w:jc w:val="both"/>
        <w:rPr>
          <w:sz w:val="22"/>
          <w:szCs w:val="22"/>
        </w:rPr>
      </w:pPr>
      <w:r>
        <w:rPr>
          <w:sz w:val="22"/>
          <w:szCs w:val="22"/>
          <w:lang w:val="en-US"/>
        </w:rPr>
        <w:t>The ABS notes that some women and children escaping family violence may be identified as ‘visitors’ to another home on Census night.  They may not wish to disclose their circumstances out of fear, or stigma, or they may have an expectation that they can return to their home in the future.</w:t>
      </w:r>
      <w:r>
        <w:rPr>
          <w:sz w:val="22"/>
          <w:szCs w:val="22"/>
          <w:vertAlign w:val="superscript"/>
          <w:lang w:val="en-US"/>
        </w:rPr>
        <w:footnoteReference w:id="8"/>
      </w:r>
    </w:p>
    <w:p w14:paraId="4BA6B560" w14:textId="77777777" w:rsidR="00B764FC" w:rsidRDefault="00B764FC">
      <w:pPr>
        <w:spacing w:after="240" w:line="276" w:lineRule="auto"/>
        <w:jc w:val="both"/>
        <w:rPr>
          <w:sz w:val="22"/>
          <w:szCs w:val="22"/>
          <w:lang w:val="en-US"/>
        </w:rPr>
      </w:pPr>
      <w:r>
        <w:rPr>
          <w:sz w:val="22"/>
          <w:szCs w:val="22"/>
          <w:lang w:val="en-US"/>
        </w:rPr>
        <w:t>Other homelessness data supports the view that the above estimate is conservative.  For example, there were approximately 5,000 homeless clients in the Barwon Region in 2017/18.</w:t>
      </w:r>
      <w:r>
        <w:rPr>
          <w:rStyle w:val="FootnoteReference"/>
          <w:sz w:val="22"/>
          <w:szCs w:val="22"/>
          <w:lang w:val="en-US"/>
        </w:rPr>
        <w:footnoteReference w:id="9"/>
      </w:r>
    </w:p>
    <w:p w14:paraId="558912C5" w14:textId="77777777" w:rsidR="00B764FC" w:rsidRDefault="00B764FC">
      <w:pPr>
        <w:spacing w:before="240" w:line="276" w:lineRule="auto"/>
        <w:jc w:val="both"/>
        <w:rPr>
          <w:sz w:val="22"/>
          <w:szCs w:val="22"/>
        </w:rPr>
      </w:pPr>
      <w:r>
        <w:rPr>
          <w:sz w:val="22"/>
          <w:szCs w:val="22"/>
        </w:rPr>
        <w:t>For the purposes of estimating demand for social housing, we include 1,000 households</w:t>
      </w:r>
      <w:r>
        <w:rPr>
          <w:rStyle w:val="FootnoteReference"/>
          <w:sz w:val="22"/>
          <w:szCs w:val="22"/>
        </w:rPr>
        <w:footnoteReference w:id="10"/>
      </w:r>
      <w:r>
        <w:rPr>
          <w:sz w:val="22"/>
          <w:szCs w:val="22"/>
        </w:rPr>
        <w:t>.</w:t>
      </w:r>
    </w:p>
    <w:p w14:paraId="06A1E2D1" w14:textId="77777777" w:rsidR="00B764FC" w:rsidRPr="004B2308" w:rsidRDefault="00B764FC">
      <w:pPr>
        <w:pStyle w:val="Heading2"/>
      </w:pPr>
      <w:bookmarkStart w:id="75" w:name="_Toc22120169"/>
      <w:r w:rsidRPr="004B2308">
        <w:lastRenderedPageBreak/>
        <w:t>6.3</w:t>
      </w:r>
      <w:r w:rsidRPr="004B2308">
        <w:tab/>
        <w:t>What are related indicators of demand for social housing?</w:t>
      </w:r>
      <w:bookmarkEnd w:id="75"/>
    </w:p>
    <w:p w14:paraId="0B8717D6" w14:textId="77777777" w:rsidR="00B764FC" w:rsidRDefault="00B764FC">
      <w:pPr>
        <w:spacing w:before="240" w:after="240"/>
        <w:jc w:val="both"/>
        <w:rPr>
          <w:sz w:val="22"/>
          <w:szCs w:val="22"/>
        </w:rPr>
      </w:pPr>
      <w:r>
        <w:rPr>
          <w:sz w:val="22"/>
          <w:szCs w:val="22"/>
        </w:rPr>
        <w:t>A range of other social indicators evident in the 2016 census highlight the vulnerability of many residents across the City of Greater Geelong to increasing housing costs including:</w:t>
      </w:r>
    </w:p>
    <w:p w14:paraId="58AA3127"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6% of the population needs assistance due to age or a disability compared to 4.9% for Greater Melbourne </w:t>
      </w:r>
    </w:p>
    <w:p w14:paraId="142C78CA"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11.1% are one parent families compared to 10.1% in Greater Melbourne</w:t>
      </w:r>
    </w:p>
    <w:p w14:paraId="0922AC23"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26.3% are lone person households compared to 23.2 % in Greater Melbourne</w:t>
      </w:r>
    </w:p>
    <w:p w14:paraId="12326A86"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1% of the population are Aboriginal or Torres Strait Islanders (2,407 people) compared to 0.5% in Greater Melbourne </w:t>
      </w:r>
    </w:p>
    <w:p w14:paraId="332D45D0"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6.4% are unemployed compared to 6.8% in Greater Melbourne</w:t>
      </w:r>
    </w:p>
    <w:p w14:paraId="6ADBF9B4"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21.1% of households live on low incomes compared to 16.7% in Greater Melbourne</w:t>
      </w:r>
    </w:p>
    <w:p w14:paraId="140750A0"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15.8% of households have no internet connection compared to 11.3% in Greater Melbourne </w:t>
      </w:r>
    </w:p>
    <w:p w14:paraId="77ACC2B1"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16.9% of people from overseas arrived in the area since 2011</w:t>
      </w:r>
    </w:p>
    <w:p w14:paraId="39B605D3"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Between 164 - 110 Asylum Seekers arrived per month between 2014 – 2019 (‘Irregular Maritime Arrivals’)</w:t>
      </w:r>
    </w:p>
    <w:p w14:paraId="170A3D81"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On average there have been 1,338 police call outs for ‘family Incidents’ (related to domestic violence) per year 2013 - 2018</w:t>
      </w:r>
    </w:p>
    <w:p w14:paraId="7EE64D22" w14:textId="77777777" w:rsidR="00B764FC" w:rsidRDefault="00B764FC" w:rsidP="00077040">
      <w:pPr>
        <w:pStyle w:val="ListParagraph"/>
        <w:numPr>
          <w:ilvl w:val="0"/>
          <w:numId w:val="38"/>
        </w:numPr>
        <w:tabs>
          <w:tab w:val="clear" w:pos="360"/>
          <w:tab w:val="num" w:pos="1418"/>
        </w:tabs>
        <w:spacing w:before="60" w:after="240" w:line="276" w:lineRule="auto"/>
        <w:ind w:left="567" w:hanging="425"/>
        <w:jc w:val="both"/>
        <w:rPr>
          <w:sz w:val="22"/>
          <w:szCs w:val="22"/>
        </w:rPr>
      </w:pPr>
      <w:r>
        <w:rPr>
          <w:sz w:val="22"/>
          <w:szCs w:val="22"/>
        </w:rPr>
        <w:t>Geelong is a relatively disadvantaged area with a SEIFA</w:t>
      </w:r>
      <w:r>
        <w:rPr>
          <w:rStyle w:val="FootnoteReference"/>
          <w:sz w:val="22"/>
          <w:szCs w:val="22"/>
        </w:rPr>
        <w:footnoteReference w:id="11"/>
      </w:r>
      <w:r>
        <w:rPr>
          <w:sz w:val="22"/>
          <w:szCs w:val="22"/>
        </w:rPr>
        <w:t xml:space="preserve"> Index of 994.  16 small areas are relatively disadvantaged with significant levels of disadvantage evident in Corio (830), Whittington (821), and Norlane/North Shore (731)</w:t>
      </w:r>
    </w:p>
    <w:p w14:paraId="642A184C" w14:textId="77777777" w:rsidR="00B764FC" w:rsidRPr="004B2308" w:rsidRDefault="00B764FC">
      <w:pPr>
        <w:pStyle w:val="Heading2"/>
      </w:pPr>
      <w:bookmarkStart w:id="76" w:name="_Toc22120170"/>
      <w:r w:rsidRPr="004B2308">
        <w:t>6.4</w:t>
      </w:r>
      <w:r w:rsidRPr="004B2308">
        <w:tab/>
        <w:t>How many households live in social housing in Geelong?</w:t>
      </w:r>
      <w:bookmarkEnd w:id="76"/>
    </w:p>
    <w:p w14:paraId="3DF2FAB2" w14:textId="77777777" w:rsidR="00B764FC" w:rsidRDefault="00B764FC">
      <w:pPr>
        <w:spacing w:before="240" w:line="276" w:lineRule="auto"/>
        <w:jc w:val="both"/>
        <w:rPr>
          <w:sz w:val="22"/>
          <w:szCs w:val="22"/>
        </w:rPr>
      </w:pPr>
      <w:r>
        <w:rPr>
          <w:sz w:val="22"/>
          <w:szCs w:val="22"/>
        </w:rPr>
        <w:t xml:space="preserve">There are </w:t>
      </w:r>
      <w:r>
        <w:rPr>
          <w:b/>
          <w:bCs/>
          <w:sz w:val="22"/>
          <w:szCs w:val="22"/>
        </w:rPr>
        <w:t>3,300 households recorded as living in social housing in Geelong</w:t>
      </w:r>
      <w:r>
        <w:rPr>
          <w:sz w:val="22"/>
          <w:szCs w:val="22"/>
        </w:rPr>
        <w:t xml:space="preserve"> (ABS, 2016).  This comprises about two thirds public housing and one third community housing. </w:t>
      </w:r>
    </w:p>
    <w:p w14:paraId="2D884566" w14:textId="66F494F4" w:rsidR="00B764FC" w:rsidRDefault="00B764FC">
      <w:pPr>
        <w:spacing w:before="240" w:line="276" w:lineRule="auto"/>
        <w:jc w:val="both"/>
        <w:rPr>
          <w:sz w:val="22"/>
          <w:szCs w:val="22"/>
        </w:rPr>
      </w:pPr>
      <w:r>
        <w:rPr>
          <w:sz w:val="22"/>
          <w:szCs w:val="22"/>
        </w:rPr>
        <w:t>The number of households renting social housing has stayed relatively constant since 2001, while population has grown by 24%, and the number of households has grown by about 10% (</w:t>
      </w:r>
      <w:r w:rsidR="00077040">
        <w:fldChar w:fldCharType="begin"/>
      </w:r>
      <w:r w:rsidR="00077040">
        <w:instrText xml:space="preserve"> REF _Ref17474845 \h  \* MERGEFORMAT </w:instrText>
      </w:r>
      <w:r w:rsidR="00077040">
        <w:fldChar w:fldCharType="separate"/>
      </w:r>
      <w:r w:rsidR="00BB479E" w:rsidRPr="00BB479E">
        <w:rPr>
          <w:sz w:val="22"/>
          <w:szCs w:val="22"/>
        </w:rPr>
        <w:t xml:space="preserve">Figure </w:t>
      </w:r>
      <w:r w:rsidR="00BB479E" w:rsidRPr="00BB479E">
        <w:rPr>
          <w:noProof/>
          <w:sz w:val="22"/>
          <w:szCs w:val="22"/>
        </w:rPr>
        <w:t>9</w:t>
      </w:r>
      <w:r w:rsidR="00077040">
        <w:fldChar w:fldCharType="end"/>
      </w:r>
      <w:r>
        <w:rPr>
          <w:sz w:val="22"/>
          <w:szCs w:val="22"/>
        </w:rPr>
        <w:t xml:space="preserve">). </w:t>
      </w:r>
    </w:p>
    <w:p w14:paraId="5FDB1F83" w14:textId="77777777" w:rsidR="00B764FC" w:rsidRDefault="00B764FC">
      <w:pPr>
        <w:spacing w:before="240" w:line="276" w:lineRule="auto"/>
        <w:jc w:val="both"/>
        <w:rPr>
          <w:sz w:val="22"/>
          <w:szCs w:val="22"/>
        </w:rPr>
      </w:pPr>
      <w:r>
        <w:rPr>
          <w:sz w:val="22"/>
          <w:szCs w:val="22"/>
        </w:rPr>
        <w:t xml:space="preserve">This reflects </w:t>
      </w:r>
      <w:r>
        <w:rPr>
          <w:b/>
          <w:bCs/>
          <w:sz w:val="22"/>
          <w:szCs w:val="22"/>
        </w:rPr>
        <w:t>increasing demand for social housing</w:t>
      </w:r>
      <w:r>
        <w:rPr>
          <w:sz w:val="22"/>
          <w:szCs w:val="22"/>
        </w:rPr>
        <w:t xml:space="preserve"> without a commensurate increase in social housing stock.  As a result, the proportion of households renting social housing has dropped from 4.2% (2011) to 3.6% (2016).</w:t>
      </w:r>
    </w:p>
    <w:p w14:paraId="7454CD09" w14:textId="77777777" w:rsidR="00B764FC" w:rsidRDefault="00B764FC">
      <w:pPr>
        <w:spacing w:line="276" w:lineRule="auto"/>
        <w:ind w:left="993"/>
      </w:pPr>
    </w:p>
    <w:p w14:paraId="744ADA69" w14:textId="77777777" w:rsidR="00B764FC" w:rsidRDefault="00B764FC">
      <w:pPr>
        <w:spacing w:line="276" w:lineRule="auto"/>
        <w:ind w:left="993"/>
      </w:pPr>
    </w:p>
    <w:p w14:paraId="76A9EFFE" w14:textId="77777777" w:rsidR="00B764FC" w:rsidRDefault="00B764FC">
      <w:pPr>
        <w:spacing w:line="276" w:lineRule="auto"/>
        <w:ind w:left="993"/>
      </w:pPr>
    </w:p>
    <w:p w14:paraId="7068DB3B" w14:textId="77777777" w:rsidR="00B764FC" w:rsidRDefault="00B764FC">
      <w:pPr>
        <w:spacing w:line="276" w:lineRule="auto"/>
        <w:ind w:left="993"/>
      </w:pPr>
    </w:p>
    <w:p w14:paraId="3FE799A3" w14:textId="347D52C1" w:rsidR="00B764FC" w:rsidRDefault="00C44B7A">
      <w:pPr>
        <w:spacing w:line="276" w:lineRule="auto"/>
        <w:ind w:left="993"/>
      </w:pPr>
      <w:r>
        <w:rPr>
          <w:noProof/>
          <w:lang w:eastAsia="en-AU"/>
        </w:rPr>
        <w:lastRenderedPageBreak/>
        <w:drawing>
          <wp:anchor distT="0" distB="0" distL="114300" distR="114300" simplePos="0" relativeHeight="251658752" behindDoc="0" locked="0" layoutInCell="0" allowOverlap="1" wp14:anchorId="38596056" wp14:editId="094DE782">
            <wp:simplePos x="0" y="0"/>
            <wp:positionH relativeFrom="margin">
              <wp:align>left</wp:align>
            </wp:positionH>
            <wp:positionV relativeFrom="paragraph">
              <wp:posOffset>-156845</wp:posOffset>
            </wp:positionV>
            <wp:extent cx="4248150" cy="2552700"/>
            <wp:effectExtent l="19050" t="19050" r="19050" b="19050"/>
            <wp:wrapNone/>
            <wp:docPr id="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srcRect/>
                    <a:stretch>
                      <a:fillRect/>
                    </a:stretch>
                  </pic:blipFill>
                  <pic:spPr bwMode="auto">
                    <a:xfrm>
                      <a:off x="0" y="0"/>
                      <a:ext cx="4248150" cy="2552700"/>
                    </a:xfrm>
                    <a:prstGeom prst="rect">
                      <a:avLst/>
                    </a:prstGeom>
                    <a:noFill/>
                    <a:ln w="12700">
                      <a:solidFill>
                        <a:srgbClr val="000000"/>
                      </a:solidFill>
                      <a:miter lim="800000"/>
                      <a:headEnd/>
                      <a:tailEnd/>
                    </a:ln>
                  </pic:spPr>
                </pic:pic>
              </a:graphicData>
            </a:graphic>
          </wp:anchor>
        </w:drawing>
      </w:r>
    </w:p>
    <w:p w14:paraId="32FDD072" w14:textId="77777777" w:rsidR="00B764FC" w:rsidRDefault="00B764FC">
      <w:pPr>
        <w:spacing w:line="276" w:lineRule="auto"/>
        <w:ind w:left="993"/>
      </w:pPr>
    </w:p>
    <w:p w14:paraId="4E3261CE" w14:textId="77777777" w:rsidR="00B764FC" w:rsidRDefault="00B764FC">
      <w:pPr>
        <w:spacing w:line="276" w:lineRule="auto"/>
        <w:ind w:left="993"/>
      </w:pPr>
    </w:p>
    <w:p w14:paraId="7DDF051B" w14:textId="77777777" w:rsidR="00B764FC" w:rsidRDefault="00B764FC"/>
    <w:p w14:paraId="6FD3E4E0" w14:textId="77777777" w:rsidR="00B764FC" w:rsidRDefault="00B764FC"/>
    <w:p w14:paraId="2F00602F" w14:textId="77777777" w:rsidR="00B764FC" w:rsidRDefault="00B764FC"/>
    <w:p w14:paraId="3C76B9D3" w14:textId="77777777" w:rsidR="00B764FC" w:rsidRDefault="00B764FC"/>
    <w:p w14:paraId="31C3A9D2" w14:textId="77777777" w:rsidR="00B764FC" w:rsidRDefault="00B764FC"/>
    <w:p w14:paraId="3A56B2C8" w14:textId="77777777" w:rsidR="00B764FC" w:rsidRDefault="00B764FC"/>
    <w:p w14:paraId="2B15862A" w14:textId="77777777" w:rsidR="00B764FC" w:rsidRDefault="00B764FC"/>
    <w:p w14:paraId="73C8B51F" w14:textId="77777777" w:rsidR="00B764FC" w:rsidRDefault="00B764FC"/>
    <w:p w14:paraId="75D96B7B" w14:textId="77777777" w:rsidR="00B764FC" w:rsidRDefault="00B764FC"/>
    <w:p w14:paraId="30FD4C63" w14:textId="77777777" w:rsidR="00B764FC" w:rsidRDefault="00B764FC"/>
    <w:p w14:paraId="006851CD" w14:textId="64CA13E2" w:rsidR="00B764FC" w:rsidRDefault="00B764FC">
      <w:pPr>
        <w:pStyle w:val="Caption"/>
        <w:rPr>
          <w:b/>
          <w:bCs/>
        </w:rPr>
      </w:pPr>
      <w:bookmarkStart w:id="77" w:name="_Ref4422324"/>
      <w:bookmarkStart w:id="78" w:name="_Ref17474845"/>
      <w:bookmarkStart w:id="79" w:name="_Toc17315078"/>
      <w:bookmarkStart w:id="80" w:name="_Toc22120096"/>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9</w:t>
      </w:r>
      <w:r w:rsidR="00FF5CA4">
        <w:rPr>
          <w:b/>
          <w:bCs/>
        </w:rPr>
        <w:fldChar w:fldCharType="end"/>
      </w:r>
      <w:bookmarkEnd w:id="77"/>
      <w:bookmarkEnd w:id="78"/>
      <w:r>
        <w:rPr>
          <w:b/>
          <w:bCs/>
        </w:rPr>
        <w:t>:</w:t>
      </w:r>
      <w:r>
        <w:rPr>
          <w:b/>
          <w:bCs/>
        </w:rPr>
        <w:tab/>
        <w:t xml:space="preserve"> Number of Households Renting Social Housing - 2001 - 2016</w:t>
      </w:r>
      <w:bookmarkEnd w:id="79"/>
      <w:bookmarkEnd w:id="80"/>
    </w:p>
    <w:p w14:paraId="3D16E52A" w14:textId="77777777" w:rsidR="00B764FC" w:rsidRDefault="00B764FC">
      <w:pPr>
        <w:pStyle w:val="TF"/>
      </w:pPr>
      <w:r>
        <w:rPr>
          <w:i/>
          <w:iCs/>
        </w:rPr>
        <w:t>Source</w:t>
      </w:r>
      <w:r>
        <w:t>:</w:t>
      </w:r>
      <w:r>
        <w:tab/>
        <w:t>ABS, 2016</w:t>
      </w:r>
    </w:p>
    <w:p w14:paraId="32623EDF" w14:textId="77777777" w:rsidR="00B764FC" w:rsidRDefault="00B764FC">
      <w:pPr>
        <w:spacing w:before="240" w:line="276" w:lineRule="auto"/>
        <w:jc w:val="both"/>
        <w:rPr>
          <w:sz w:val="22"/>
          <w:szCs w:val="22"/>
        </w:rPr>
      </w:pPr>
      <w:r>
        <w:rPr>
          <w:sz w:val="22"/>
          <w:szCs w:val="22"/>
        </w:rPr>
        <w:t>In the period 2011 – 2016 there were increases in all housing tenures, except for social housing (Figure</w:t>
      </w:r>
      <w:r>
        <w:rPr>
          <w:noProof/>
          <w:sz w:val="22"/>
          <w:szCs w:val="22"/>
        </w:rPr>
        <w:t xml:space="preserve"> 13)</w:t>
      </w:r>
      <w:r>
        <w:rPr>
          <w:sz w:val="22"/>
          <w:szCs w:val="22"/>
        </w:rPr>
        <w:t>.  Importantly, the number of households renting privately increased by 3,500 households (nearly 20%) from 2011 to 2016.</w:t>
      </w:r>
    </w:p>
    <w:p w14:paraId="2B04C747" w14:textId="77777777" w:rsidR="00C44B7A" w:rsidRDefault="00C44B7A"/>
    <w:p w14:paraId="31254891" w14:textId="61F26475" w:rsidR="00B764FC" w:rsidRDefault="00C44B7A">
      <w:r>
        <w:rPr>
          <w:noProof/>
          <w:lang w:eastAsia="en-AU"/>
        </w:rPr>
        <w:drawing>
          <wp:anchor distT="0" distB="0" distL="114300" distR="114300" simplePos="0" relativeHeight="251659776" behindDoc="0" locked="0" layoutInCell="0" allowOverlap="1" wp14:anchorId="2027D8EE" wp14:editId="71EE6700">
            <wp:simplePos x="0" y="0"/>
            <wp:positionH relativeFrom="margin">
              <wp:align>left</wp:align>
            </wp:positionH>
            <wp:positionV relativeFrom="paragraph">
              <wp:posOffset>38735</wp:posOffset>
            </wp:positionV>
            <wp:extent cx="4200525" cy="2523490"/>
            <wp:effectExtent l="19050" t="19050" r="28575" b="10160"/>
            <wp:wrapNone/>
            <wp:docPr id="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4200525" cy="2523490"/>
                    </a:xfrm>
                    <a:prstGeom prst="rect">
                      <a:avLst/>
                    </a:prstGeom>
                    <a:noFill/>
                    <a:ln w="12700">
                      <a:solidFill>
                        <a:srgbClr val="000000"/>
                      </a:solidFill>
                      <a:miter lim="800000"/>
                      <a:headEnd/>
                      <a:tailEnd/>
                    </a:ln>
                  </pic:spPr>
                </pic:pic>
              </a:graphicData>
            </a:graphic>
          </wp:anchor>
        </w:drawing>
      </w:r>
    </w:p>
    <w:p w14:paraId="7E5DBE4F" w14:textId="77777777" w:rsidR="00B764FC" w:rsidRDefault="00B764FC"/>
    <w:p w14:paraId="6D5AE285" w14:textId="77777777" w:rsidR="00B764FC" w:rsidRDefault="00B764FC"/>
    <w:p w14:paraId="52B0F20A" w14:textId="77777777" w:rsidR="00B764FC" w:rsidRDefault="00B764FC"/>
    <w:p w14:paraId="69424EDC" w14:textId="77777777" w:rsidR="00B764FC" w:rsidRDefault="00B764FC"/>
    <w:p w14:paraId="2FD836F9" w14:textId="77777777" w:rsidR="00B764FC" w:rsidRDefault="00B764FC"/>
    <w:p w14:paraId="14C1BB43" w14:textId="77777777" w:rsidR="00B764FC" w:rsidRDefault="00B764FC"/>
    <w:p w14:paraId="6739B3C8" w14:textId="77777777" w:rsidR="00B764FC" w:rsidRDefault="00B764FC"/>
    <w:p w14:paraId="2BB2F392" w14:textId="77777777" w:rsidR="00B764FC" w:rsidRDefault="00B764FC"/>
    <w:p w14:paraId="0B3701CF" w14:textId="77777777" w:rsidR="00B764FC" w:rsidRDefault="00B764FC"/>
    <w:p w14:paraId="584D068A" w14:textId="77777777" w:rsidR="00B764FC" w:rsidRDefault="00B764FC"/>
    <w:p w14:paraId="1E00B9A5" w14:textId="77777777" w:rsidR="00B764FC" w:rsidRDefault="00B764FC"/>
    <w:p w14:paraId="1CDEBCCB" w14:textId="77777777" w:rsidR="00B764FC" w:rsidRDefault="00B764FC"/>
    <w:p w14:paraId="27FD8706" w14:textId="77777777" w:rsidR="00B764FC" w:rsidRDefault="00B764FC"/>
    <w:p w14:paraId="4431AB66" w14:textId="71AB4290" w:rsidR="00B764FC" w:rsidRDefault="00B764FC">
      <w:pPr>
        <w:pStyle w:val="Caption"/>
        <w:rPr>
          <w:b/>
          <w:bCs/>
        </w:rPr>
      </w:pPr>
      <w:bookmarkStart w:id="81" w:name="_Ref4422374"/>
      <w:bookmarkStart w:id="82" w:name="_Toc17315079"/>
      <w:bookmarkStart w:id="83" w:name="_Toc22120097"/>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10</w:t>
      </w:r>
      <w:r w:rsidR="00FF5CA4">
        <w:rPr>
          <w:b/>
          <w:bCs/>
        </w:rPr>
        <w:fldChar w:fldCharType="end"/>
      </w:r>
      <w:bookmarkEnd w:id="81"/>
      <w:r>
        <w:rPr>
          <w:b/>
          <w:bCs/>
        </w:rPr>
        <w:t>: Housing Tenure - 2011 – 2016</w:t>
      </w:r>
      <w:bookmarkEnd w:id="82"/>
      <w:bookmarkEnd w:id="83"/>
      <w:r>
        <w:rPr>
          <w:b/>
          <w:bCs/>
        </w:rPr>
        <w:t xml:space="preserve"> </w:t>
      </w:r>
    </w:p>
    <w:p w14:paraId="40894710" w14:textId="77777777" w:rsidR="00B764FC" w:rsidRDefault="00B764FC">
      <w:pPr>
        <w:spacing w:line="276" w:lineRule="auto"/>
        <w:rPr>
          <w:sz w:val="20"/>
          <w:szCs w:val="20"/>
        </w:rPr>
      </w:pPr>
      <w:r>
        <w:rPr>
          <w:i/>
          <w:iCs/>
          <w:sz w:val="20"/>
          <w:szCs w:val="20"/>
        </w:rPr>
        <w:t>Source</w:t>
      </w:r>
      <w:r>
        <w:rPr>
          <w:sz w:val="20"/>
          <w:szCs w:val="20"/>
        </w:rPr>
        <w:t>:</w:t>
      </w:r>
      <w:r>
        <w:rPr>
          <w:sz w:val="20"/>
          <w:szCs w:val="20"/>
        </w:rPr>
        <w:tab/>
        <w:t>ABS 2016</w:t>
      </w:r>
    </w:p>
    <w:p w14:paraId="6D7816F0" w14:textId="77777777" w:rsidR="00B764FC" w:rsidRDefault="00B764FC">
      <w:pPr>
        <w:spacing w:line="276" w:lineRule="auto"/>
      </w:pPr>
    </w:p>
    <w:p w14:paraId="3314E522" w14:textId="77777777" w:rsidR="00B764FC" w:rsidRDefault="00B764FC">
      <w:pPr>
        <w:pStyle w:val="Heading3"/>
        <w:tabs>
          <w:tab w:val="left" w:pos="142"/>
        </w:tabs>
        <w:spacing w:line="276" w:lineRule="auto"/>
        <w:jc w:val="both"/>
        <w:rPr>
          <w:rFonts w:ascii="Calibri" w:hAnsi="Calibri" w:cs="Calibri"/>
          <w:b/>
          <w:bCs/>
          <w:i w:val="0"/>
          <w:iCs w:val="0"/>
        </w:rPr>
      </w:pPr>
      <w:bookmarkStart w:id="84" w:name="_Toc2772847"/>
      <w:bookmarkStart w:id="85" w:name="_Toc4230676"/>
      <w:bookmarkStart w:id="86" w:name="_Toc4418698"/>
      <w:r>
        <w:rPr>
          <w:rFonts w:ascii="Calibri" w:hAnsi="Calibri" w:cs="Calibri"/>
          <w:b/>
          <w:bCs/>
          <w:i w:val="0"/>
          <w:iCs w:val="0"/>
        </w:rPr>
        <w:t>Where do social housing tenants live in Geelong?</w:t>
      </w:r>
    </w:p>
    <w:p w14:paraId="43A70B37" w14:textId="77777777" w:rsidR="00B764FC" w:rsidRDefault="00B764FC">
      <w:pPr>
        <w:tabs>
          <w:tab w:val="left" w:pos="142"/>
        </w:tabs>
        <w:spacing w:line="276" w:lineRule="auto"/>
        <w:jc w:val="both"/>
        <w:rPr>
          <w:sz w:val="22"/>
          <w:szCs w:val="22"/>
        </w:rPr>
      </w:pPr>
      <w:r>
        <w:rPr>
          <w:sz w:val="22"/>
          <w:szCs w:val="22"/>
        </w:rPr>
        <w:t>The distribution of social housing across Geelong is very uneven.  This is a remnant of the post war development of housing, for employees in Geelong’s industries, and in particular the investment in public housing by the State Government, to create new suburbs at East Geelong, Norlane and Corio.</w:t>
      </w:r>
    </w:p>
    <w:p w14:paraId="7A6609DB" w14:textId="77777777" w:rsidR="00B764FC" w:rsidRDefault="00B764FC">
      <w:pPr>
        <w:tabs>
          <w:tab w:val="left" w:pos="142"/>
        </w:tabs>
        <w:spacing w:line="276" w:lineRule="auto"/>
        <w:jc w:val="both"/>
        <w:rPr>
          <w:sz w:val="22"/>
          <w:szCs w:val="22"/>
        </w:rPr>
      </w:pPr>
    </w:p>
    <w:p w14:paraId="3794FE56" w14:textId="77777777" w:rsidR="00B764FC" w:rsidRDefault="00B764FC">
      <w:pPr>
        <w:tabs>
          <w:tab w:val="left" w:pos="142"/>
        </w:tabs>
        <w:spacing w:line="276" w:lineRule="auto"/>
        <w:jc w:val="both"/>
        <w:rPr>
          <w:sz w:val="22"/>
          <w:szCs w:val="22"/>
        </w:rPr>
      </w:pPr>
      <w:r>
        <w:rPr>
          <w:b/>
          <w:bCs/>
          <w:sz w:val="22"/>
          <w:szCs w:val="22"/>
        </w:rPr>
        <w:t>Five Areas account for nearly 84% of social housing tenants in Geelong</w:t>
      </w:r>
      <w:r>
        <w:rPr>
          <w:sz w:val="22"/>
          <w:szCs w:val="22"/>
        </w:rPr>
        <w:t xml:space="preserve">.  By contrast there is relatively little social housing on the Bellarine Peninsula, and in the growth area of Armstrong Creek.  </w:t>
      </w:r>
    </w:p>
    <w:p w14:paraId="68866A7E" w14:textId="4DA06DA0" w:rsidR="00B764FC" w:rsidRDefault="00B764FC">
      <w:pPr>
        <w:pStyle w:val="Caption"/>
        <w:rPr>
          <w:b/>
          <w:bCs/>
        </w:rPr>
      </w:pPr>
      <w:bookmarkStart w:id="87" w:name="_Toc22120044"/>
      <w:r>
        <w:rPr>
          <w:b/>
          <w:bCs/>
        </w:rPr>
        <w:lastRenderedPageBreak/>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9</w:t>
      </w:r>
      <w:r w:rsidR="00FF5CA4">
        <w:rPr>
          <w:b/>
          <w:bCs/>
        </w:rPr>
        <w:fldChar w:fldCharType="end"/>
      </w:r>
      <w:r>
        <w:rPr>
          <w:b/>
          <w:bCs/>
        </w:rPr>
        <w:t>:</w:t>
      </w:r>
      <w:r>
        <w:rPr>
          <w:b/>
          <w:bCs/>
        </w:rPr>
        <w:tab/>
        <w:t>Areas with relatively high proportion of social housing</w:t>
      </w:r>
      <w:bookmarkEnd w:id="87"/>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682"/>
        <w:gridCol w:w="4730"/>
        <w:gridCol w:w="1902"/>
        <w:gridCol w:w="1900"/>
      </w:tblGrid>
      <w:tr w:rsidR="00B764FC" w14:paraId="6CCFC39F" w14:textId="77777777" w:rsidTr="004B2308">
        <w:tc>
          <w:tcPr>
            <w:tcW w:w="682" w:type="dxa"/>
            <w:tcBorders>
              <w:left w:val="nil"/>
              <w:right w:val="nil"/>
            </w:tcBorders>
            <w:shd w:val="clear" w:color="auto" w:fill="002060"/>
            <w:vAlign w:val="center"/>
          </w:tcPr>
          <w:p w14:paraId="07B04D34" w14:textId="77777777" w:rsidR="00B764FC" w:rsidRDefault="00B764FC">
            <w:pPr>
              <w:jc w:val="center"/>
              <w:rPr>
                <w:b/>
                <w:bCs/>
                <w:color w:val="FFFFFF"/>
                <w:sz w:val="20"/>
                <w:szCs w:val="20"/>
              </w:rPr>
            </w:pPr>
            <w:r>
              <w:rPr>
                <w:b/>
                <w:bCs/>
                <w:color w:val="FFFFFF"/>
                <w:sz w:val="20"/>
                <w:szCs w:val="20"/>
              </w:rPr>
              <w:t>Area</w:t>
            </w:r>
          </w:p>
        </w:tc>
        <w:tc>
          <w:tcPr>
            <w:tcW w:w="4730" w:type="dxa"/>
            <w:tcBorders>
              <w:left w:val="nil"/>
              <w:right w:val="nil"/>
            </w:tcBorders>
            <w:shd w:val="clear" w:color="auto" w:fill="002060"/>
            <w:vAlign w:val="center"/>
          </w:tcPr>
          <w:p w14:paraId="118E66CF" w14:textId="77777777" w:rsidR="00B764FC" w:rsidRDefault="00B764FC">
            <w:pPr>
              <w:jc w:val="center"/>
              <w:rPr>
                <w:b/>
                <w:bCs/>
                <w:color w:val="FFFFFF"/>
                <w:sz w:val="20"/>
                <w:szCs w:val="20"/>
              </w:rPr>
            </w:pPr>
            <w:r>
              <w:rPr>
                <w:b/>
                <w:bCs/>
                <w:color w:val="FFFFFF"/>
                <w:sz w:val="20"/>
                <w:szCs w:val="20"/>
              </w:rPr>
              <w:t>Suburbs</w:t>
            </w:r>
          </w:p>
        </w:tc>
        <w:tc>
          <w:tcPr>
            <w:tcW w:w="1902" w:type="dxa"/>
            <w:tcBorders>
              <w:left w:val="nil"/>
              <w:right w:val="nil"/>
            </w:tcBorders>
            <w:shd w:val="clear" w:color="auto" w:fill="002060"/>
            <w:vAlign w:val="center"/>
          </w:tcPr>
          <w:p w14:paraId="1F0ADF67" w14:textId="77777777" w:rsidR="00B764FC" w:rsidRDefault="00B764FC">
            <w:pPr>
              <w:jc w:val="center"/>
              <w:rPr>
                <w:b/>
                <w:bCs/>
                <w:color w:val="FFFFFF"/>
                <w:sz w:val="20"/>
                <w:szCs w:val="20"/>
              </w:rPr>
            </w:pPr>
            <w:r>
              <w:rPr>
                <w:b/>
                <w:bCs/>
                <w:color w:val="FFFFFF"/>
                <w:sz w:val="20"/>
                <w:szCs w:val="20"/>
              </w:rPr>
              <w:t>Proportion of all social housing tenants</w:t>
            </w:r>
          </w:p>
        </w:tc>
        <w:tc>
          <w:tcPr>
            <w:tcW w:w="1900" w:type="dxa"/>
            <w:tcBorders>
              <w:left w:val="nil"/>
              <w:right w:val="nil"/>
            </w:tcBorders>
            <w:shd w:val="clear" w:color="auto" w:fill="002060"/>
            <w:vAlign w:val="center"/>
          </w:tcPr>
          <w:p w14:paraId="7F2941D7" w14:textId="77777777" w:rsidR="00B764FC" w:rsidRDefault="00B764FC">
            <w:pPr>
              <w:jc w:val="center"/>
              <w:rPr>
                <w:b/>
                <w:bCs/>
                <w:color w:val="FFFFFF"/>
                <w:sz w:val="20"/>
                <w:szCs w:val="20"/>
              </w:rPr>
            </w:pPr>
            <w:r>
              <w:rPr>
                <w:b/>
                <w:bCs/>
                <w:color w:val="FFFFFF"/>
                <w:sz w:val="20"/>
                <w:szCs w:val="20"/>
              </w:rPr>
              <w:t>Social housing as a proportion of all housing</w:t>
            </w:r>
          </w:p>
        </w:tc>
      </w:tr>
      <w:tr w:rsidR="00B764FC" w14:paraId="7F0A56AE" w14:textId="77777777">
        <w:tc>
          <w:tcPr>
            <w:tcW w:w="682" w:type="dxa"/>
            <w:tcBorders>
              <w:left w:val="nil"/>
              <w:right w:val="nil"/>
            </w:tcBorders>
          </w:tcPr>
          <w:p w14:paraId="7990A7F7" w14:textId="77777777" w:rsidR="00B764FC" w:rsidRDefault="00B764FC">
            <w:pPr>
              <w:spacing w:before="60"/>
              <w:rPr>
                <w:sz w:val="20"/>
                <w:szCs w:val="20"/>
              </w:rPr>
            </w:pPr>
            <w:r>
              <w:rPr>
                <w:sz w:val="20"/>
                <w:szCs w:val="20"/>
              </w:rPr>
              <w:t>13</w:t>
            </w:r>
          </w:p>
        </w:tc>
        <w:tc>
          <w:tcPr>
            <w:tcW w:w="4730" w:type="dxa"/>
            <w:tcBorders>
              <w:left w:val="nil"/>
              <w:right w:val="nil"/>
            </w:tcBorders>
          </w:tcPr>
          <w:p w14:paraId="3D889CA7" w14:textId="77777777" w:rsidR="00B764FC" w:rsidRDefault="00B764FC">
            <w:pPr>
              <w:spacing w:before="60"/>
              <w:rPr>
                <w:sz w:val="20"/>
                <w:szCs w:val="20"/>
              </w:rPr>
            </w:pPr>
            <w:r>
              <w:rPr>
                <w:sz w:val="20"/>
                <w:szCs w:val="20"/>
              </w:rPr>
              <w:t>Corio, Norlane</w:t>
            </w:r>
          </w:p>
        </w:tc>
        <w:tc>
          <w:tcPr>
            <w:tcW w:w="1902" w:type="dxa"/>
            <w:tcBorders>
              <w:left w:val="nil"/>
              <w:right w:val="nil"/>
            </w:tcBorders>
          </w:tcPr>
          <w:p w14:paraId="3CEE7821" w14:textId="77777777" w:rsidR="00B764FC" w:rsidRDefault="00B764FC">
            <w:pPr>
              <w:spacing w:before="60"/>
              <w:ind w:right="317"/>
              <w:jc w:val="right"/>
              <w:rPr>
                <w:sz w:val="20"/>
                <w:szCs w:val="20"/>
              </w:rPr>
            </w:pPr>
            <w:r>
              <w:rPr>
                <w:sz w:val="20"/>
                <w:szCs w:val="20"/>
              </w:rPr>
              <w:t>40%</w:t>
            </w:r>
          </w:p>
        </w:tc>
        <w:tc>
          <w:tcPr>
            <w:tcW w:w="1900" w:type="dxa"/>
            <w:tcBorders>
              <w:left w:val="nil"/>
              <w:right w:val="nil"/>
            </w:tcBorders>
          </w:tcPr>
          <w:p w14:paraId="23834C14" w14:textId="77777777" w:rsidR="00B764FC" w:rsidRDefault="00B764FC">
            <w:pPr>
              <w:spacing w:before="60"/>
              <w:ind w:right="317"/>
              <w:jc w:val="right"/>
              <w:rPr>
                <w:sz w:val="20"/>
                <w:szCs w:val="20"/>
              </w:rPr>
            </w:pPr>
            <w:r>
              <w:rPr>
                <w:sz w:val="20"/>
                <w:szCs w:val="20"/>
              </w:rPr>
              <w:t>14%</w:t>
            </w:r>
          </w:p>
        </w:tc>
      </w:tr>
      <w:tr w:rsidR="00B764FC" w14:paraId="493616FC" w14:textId="77777777">
        <w:tc>
          <w:tcPr>
            <w:tcW w:w="682" w:type="dxa"/>
            <w:tcBorders>
              <w:left w:val="nil"/>
              <w:right w:val="nil"/>
            </w:tcBorders>
            <w:shd w:val="clear" w:color="auto" w:fill="FFFFFF"/>
          </w:tcPr>
          <w:p w14:paraId="4AAC52FD" w14:textId="77777777" w:rsidR="00B764FC" w:rsidRDefault="00B764FC">
            <w:pPr>
              <w:spacing w:before="60"/>
              <w:rPr>
                <w:sz w:val="20"/>
                <w:szCs w:val="20"/>
              </w:rPr>
            </w:pPr>
            <w:r>
              <w:rPr>
                <w:sz w:val="20"/>
                <w:szCs w:val="20"/>
              </w:rPr>
              <w:t>6</w:t>
            </w:r>
          </w:p>
        </w:tc>
        <w:tc>
          <w:tcPr>
            <w:tcW w:w="4730" w:type="dxa"/>
            <w:tcBorders>
              <w:left w:val="nil"/>
              <w:right w:val="nil"/>
            </w:tcBorders>
            <w:shd w:val="clear" w:color="auto" w:fill="FFFFFF"/>
          </w:tcPr>
          <w:p w14:paraId="4FF87E77" w14:textId="77777777" w:rsidR="00B764FC" w:rsidRDefault="00B764FC">
            <w:pPr>
              <w:spacing w:before="60"/>
              <w:rPr>
                <w:sz w:val="20"/>
                <w:szCs w:val="20"/>
              </w:rPr>
            </w:pPr>
            <w:r>
              <w:rPr>
                <w:sz w:val="20"/>
                <w:szCs w:val="20"/>
              </w:rPr>
              <w:t>Newcomb, South Geelong, St Albans, and Whittington</w:t>
            </w:r>
          </w:p>
        </w:tc>
        <w:tc>
          <w:tcPr>
            <w:tcW w:w="1902" w:type="dxa"/>
            <w:tcBorders>
              <w:left w:val="nil"/>
              <w:right w:val="nil"/>
            </w:tcBorders>
            <w:shd w:val="clear" w:color="auto" w:fill="FFFFFF"/>
          </w:tcPr>
          <w:p w14:paraId="0B186ACF" w14:textId="77777777" w:rsidR="00B764FC" w:rsidRDefault="00B764FC">
            <w:pPr>
              <w:spacing w:before="60"/>
              <w:ind w:right="317"/>
              <w:jc w:val="right"/>
              <w:rPr>
                <w:sz w:val="20"/>
                <w:szCs w:val="20"/>
              </w:rPr>
            </w:pPr>
            <w:r>
              <w:rPr>
                <w:sz w:val="20"/>
                <w:szCs w:val="20"/>
              </w:rPr>
              <w:t>20%</w:t>
            </w:r>
          </w:p>
        </w:tc>
        <w:tc>
          <w:tcPr>
            <w:tcW w:w="1900" w:type="dxa"/>
            <w:tcBorders>
              <w:left w:val="nil"/>
              <w:right w:val="nil"/>
            </w:tcBorders>
            <w:shd w:val="clear" w:color="auto" w:fill="FFFFFF"/>
          </w:tcPr>
          <w:p w14:paraId="42C636EE" w14:textId="77777777" w:rsidR="00B764FC" w:rsidRDefault="00B764FC">
            <w:pPr>
              <w:spacing w:before="60"/>
              <w:ind w:right="317"/>
              <w:jc w:val="right"/>
              <w:rPr>
                <w:sz w:val="20"/>
                <w:szCs w:val="20"/>
              </w:rPr>
            </w:pPr>
            <w:r>
              <w:rPr>
                <w:sz w:val="20"/>
                <w:szCs w:val="20"/>
              </w:rPr>
              <w:t>8%</w:t>
            </w:r>
          </w:p>
        </w:tc>
      </w:tr>
      <w:tr w:rsidR="00B764FC" w14:paraId="0EAECB6C" w14:textId="77777777">
        <w:tc>
          <w:tcPr>
            <w:tcW w:w="682" w:type="dxa"/>
            <w:tcBorders>
              <w:left w:val="nil"/>
              <w:right w:val="nil"/>
            </w:tcBorders>
          </w:tcPr>
          <w:p w14:paraId="3B1CA92C" w14:textId="77777777" w:rsidR="00B764FC" w:rsidRDefault="00B764FC">
            <w:pPr>
              <w:spacing w:before="60"/>
              <w:rPr>
                <w:sz w:val="20"/>
                <w:szCs w:val="20"/>
              </w:rPr>
            </w:pPr>
            <w:r>
              <w:rPr>
                <w:sz w:val="20"/>
                <w:szCs w:val="20"/>
              </w:rPr>
              <w:t>7</w:t>
            </w:r>
          </w:p>
        </w:tc>
        <w:tc>
          <w:tcPr>
            <w:tcW w:w="4730" w:type="dxa"/>
            <w:tcBorders>
              <w:left w:val="nil"/>
              <w:right w:val="nil"/>
            </w:tcBorders>
          </w:tcPr>
          <w:p w14:paraId="5592DED7" w14:textId="77777777" w:rsidR="00B764FC" w:rsidRDefault="00B764FC">
            <w:pPr>
              <w:spacing w:before="60"/>
              <w:rPr>
                <w:sz w:val="20"/>
                <w:szCs w:val="20"/>
              </w:rPr>
            </w:pPr>
            <w:r>
              <w:rPr>
                <w:sz w:val="20"/>
                <w:szCs w:val="20"/>
              </w:rPr>
              <w:t>Grovedale, Waurn Ponds</w:t>
            </w:r>
          </w:p>
        </w:tc>
        <w:tc>
          <w:tcPr>
            <w:tcW w:w="1902" w:type="dxa"/>
            <w:tcBorders>
              <w:left w:val="nil"/>
              <w:right w:val="nil"/>
            </w:tcBorders>
          </w:tcPr>
          <w:p w14:paraId="7E7BC07C" w14:textId="77777777" w:rsidR="00B764FC" w:rsidRDefault="00B764FC">
            <w:pPr>
              <w:spacing w:before="60"/>
              <w:ind w:right="317"/>
              <w:jc w:val="right"/>
              <w:rPr>
                <w:sz w:val="20"/>
                <w:szCs w:val="20"/>
              </w:rPr>
            </w:pPr>
            <w:r>
              <w:rPr>
                <w:sz w:val="20"/>
                <w:szCs w:val="20"/>
              </w:rPr>
              <w:t>8%</w:t>
            </w:r>
          </w:p>
        </w:tc>
        <w:tc>
          <w:tcPr>
            <w:tcW w:w="1900" w:type="dxa"/>
            <w:tcBorders>
              <w:left w:val="nil"/>
              <w:right w:val="nil"/>
            </w:tcBorders>
          </w:tcPr>
          <w:p w14:paraId="6C9441D7" w14:textId="77777777" w:rsidR="00B764FC" w:rsidRDefault="00B764FC">
            <w:pPr>
              <w:spacing w:before="60"/>
              <w:ind w:right="317"/>
              <w:jc w:val="right"/>
              <w:rPr>
                <w:sz w:val="20"/>
                <w:szCs w:val="20"/>
              </w:rPr>
            </w:pPr>
            <w:r>
              <w:rPr>
                <w:sz w:val="20"/>
                <w:szCs w:val="20"/>
              </w:rPr>
              <w:t>4%</w:t>
            </w:r>
          </w:p>
        </w:tc>
      </w:tr>
      <w:tr w:rsidR="00B764FC" w14:paraId="1675CADD" w14:textId="77777777">
        <w:tc>
          <w:tcPr>
            <w:tcW w:w="682" w:type="dxa"/>
            <w:tcBorders>
              <w:left w:val="nil"/>
              <w:right w:val="nil"/>
            </w:tcBorders>
            <w:shd w:val="clear" w:color="auto" w:fill="FFFFFF"/>
          </w:tcPr>
          <w:p w14:paraId="62BE9A84" w14:textId="77777777" w:rsidR="00B764FC" w:rsidRDefault="00B764FC">
            <w:pPr>
              <w:spacing w:before="60"/>
              <w:rPr>
                <w:sz w:val="20"/>
                <w:szCs w:val="20"/>
              </w:rPr>
            </w:pPr>
            <w:r>
              <w:rPr>
                <w:sz w:val="20"/>
                <w:szCs w:val="20"/>
              </w:rPr>
              <w:t>8</w:t>
            </w:r>
          </w:p>
        </w:tc>
        <w:tc>
          <w:tcPr>
            <w:tcW w:w="4730" w:type="dxa"/>
            <w:tcBorders>
              <w:left w:val="nil"/>
              <w:right w:val="nil"/>
            </w:tcBorders>
            <w:shd w:val="clear" w:color="auto" w:fill="FFFFFF"/>
          </w:tcPr>
          <w:p w14:paraId="453AA134" w14:textId="77777777" w:rsidR="00B764FC" w:rsidRDefault="00B764FC">
            <w:pPr>
              <w:spacing w:before="60"/>
              <w:rPr>
                <w:sz w:val="20"/>
                <w:szCs w:val="20"/>
              </w:rPr>
            </w:pPr>
            <w:r>
              <w:rPr>
                <w:sz w:val="20"/>
                <w:szCs w:val="20"/>
              </w:rPr>
              <w:t>Belmont, Highton</w:t>
            </w:r>
          </w:p>
        </w:tc>
        <w:tc>
          <w:tcPr>
            <w:tcW w:w="1902" w:type="dxa"/>
            <w:tcBorders>
              <w:left w:val="nil"/>
              <w:right w:val="nil"/>
            </w:tcBorders>
            <w:shd w:val="clear" w:color="auto" w:fill="FFFFFF"/>
          </w:tcPr>
          <w:p w14:paraId="75472D44" w14:textId="77777777" w:rsidR="00B764FC" w:rsidRDefault="00B764FC">
            <w:pPr>
              <w:spacing w:before="60"/>
              <w:ind w:right="317"/>
              <w:jc w:val="right"/>
              <w:rPr>
                <w:sz w:val="20"/>
                <w:szCs w:val="20"/>
              </w:rPr>
            </w:pPr>
            <w:r>
              <w:rPr>
                <w:sz w:val="20"/>
                <w:szCs w:val="20"/>
              </w:rPr>
              <w:t>9%</w:t>
            </w:r>
          </w:p>
        </w:tc>
        <w:tc>
          <w:tcPr>
            <w:tcW w:w="1900" w:type="dxa"/>
            <w:tcBorders>
              <w:left w:val="nil"/>
              <w:right w:val="nil"/>
            </w:tcBorders>
            <w:shd w:val="clear" w:color="auto" w:fill="FFFFFF"/>
          </w:tcPr>
          <w:p w14:paraId="46A080B0" w14:textId="77777777" w:rsidR="00B764FC" w:rsidRDefault="00B764FC">
            <w:pPr>
              <w:spacing w:before="60"/>
              <w:ind w:right="317"/>
              <w:jc w:val="right"/>
              <w:rPr>
                <w:sz w:val="20"/>
                <w:szCs w:val="20"/>
              </w:rPr>
            </w:pPr>
            <w:r>
              <w:rPr>
                <w:sz w:val="20"/>
                <w:szCs w:val="20"/>
              </w:rPr>
              <w:t>2%</w:t>
            </w:r>
          </w:p>
        </w:tc>
      </w:tr>
      <w:tr w:rsidR="00B764FC" w14:paraId="641CACE7" w14:textId="77777777">
        <w:tc>
          <w:tcPr>
            <w:tcW w:w="682" w:type="dxa"/>
            <w:tcBorders>
              <w:left w:val="nil"/>
              <w:right w:val="nil"/>
            </w:tcBorders>
          </w:tcPr>
          <w:p w14:paraId="3FF43B7B" w14:textId="77777777" w:rsidR="00B764FC" w:rsidRDefault="00B764FC">
            <w:pPr>
              <w:spacing w:before="60"/>
              <w:rPr>
                <w:sz w:val="20"/>
                <w:szCs w:val="20"/>
              </w:rPr>
            </w:pPr>
            <w:r>
              <w:rPr>
                <w:sz w:val="20"/>
                <w:szCs w:val="20"/>
              </w:rPr>
              <w:t>10</w:t>
            </w:r>
          </w:p>
        </w:tc>
        <w:tc>
          <w:tcPr>
            <w:tcW w:w="4730" w:type="dxa"/>
            <w:tcBorders>
              <w:left w:val="nil"/>
              <w:right w:val="nil"/>
            </w:tcBorders>
          </w:tcPr>
          <w:p w14:paraId="179AA432" w14:textId="77777777" w:rsidR="00B764FC" w:rsidRDefault="00B764FC">
            <w:pPr>
              <w:spacing w:before="60"/>
              <w:rPr>
                <w:sz w:val="20"/>
                <w:szCs w:val="20"/>
              </w:rPr>
            </w:pPr>
            <w:r>
              <w:rPr>
                <w:sz w:val="20"/>
                <w:szCs w:val="20"/>
              </w:rPr>
              <w:t>Geelong West, Newtown</w:t>
            </w:r>
          </w:p>
        </w:tc>
        <w:tc>
          <w:tcPr>
            <w:tcW w:w="1902" w:type="dxa"/>
            <w:tcBorders>
              <w:left w:val="nil"/>
              <w:right w:val="nil"/>
            </w:tcBorders>
          </w:tcPr>
          <w:p w14:paraId="2299C2B8" w14:textId="77777777" w:rsidR="00B764FC" w:rsidRDefault="00B764FC">
            <w:pPr>
              <w:spacing w:before="60"/>
              <w:ind w:right="317"/>
              <w:jc w:val="right"/>
              <w:rPr>
                <w:sz w:val="20"/>
                <w:szCs w:val="20"/>
              </w:rPr>
            </w:pPr>
            <w:r>
              <w:rPr>
                <w:sz w:val="20"/>
                <w:szCs w:val="20"/>
              </w:rPr>
              <w:t>7%</w:t>
            </w:r>
          </w:p>
        </w:tc>
        <w:tc>
          <w:tcPr>
            <w:tcW w:w="1900" w:type="dxa"/>
            <w:tcBorders>
              <w:left w:val="nil"/>
              <w:right w:val="nil"/>
            </w:tcBorders>
          </w:tcPr>
          <w:p w14:paraId="7FCFDB4A" w14:textId="77777777" w:rsidR="00B764FC" w:rsidRDefault="00B764FC">
            <w:pPr>
              <w:spacing w:before="60"/>
              <w:ind w:right="317"/>
              <w:jc w:val="right"/>
              <w:rPr>
                <w:sz w:val="20"/>
                <w:szCs w:val="20"/>
              </w:rPr>
            </w:pPr>
            <w:r>
              <w:rPr>
                <w:sz w:val="20"/>
                <w:szCs w:val="20"/>
              </w:rPr>
              <w:t>3%</w:t>
            </w:r>
          </w:p>
        </w:tc>
      </w:tr>
      <w:tr w:rsidR="00B764FC" w14:paraId="220FEFA5" w14:textId="77777777">
        <w:tc>
          <w:tcPr>
            <w:tcW w:w="5412" w:type="dxa"/>
            <w:gridSpan w:val="2"/>
            <w:tcBorders>
              <w:left w:val="nil"/>
              <w:right w:val="nil"/>
            </w:tcBorders>
            <w:shd w:val="clear" w:color="auto" w:fill="C0C0C0"/>
          </w:tcPr>
          <w:p w14:paraId="3B22000C" w14:textId="77777777" w:rsidR="00B764FC" w:rsidRDefault="00B764FC">
            <w:pPr>
              <w:spacing w:before="60"/>
              <w:rPr>
                <w:b/>
                <w:bCs/>
                <w:i/>
                <w:iCs/>
                <w:sz w:val="20"/>
                <w:szCs w:val="20"/>
              </w:rPr>
            </w:pPr>
            <w:r>
              <w:rPr>
                <w:b/>
                <w:bCs/>
                <w:i/>
                <w:iCs/>
                <w:sz w:val="20"/>
                <w:szCs w:val="20"/>
              </w:rPr>
              <w:t>Other</w:t>
            </w:r>
          </w:p>
        </w:tc>
        <w:tc>
          <w:tcPr>
            <w:tcW w:w="1902" w:type="dxa"/>
            <w:tcBorders>
              <w:left w:val="nil"/>
              <w:right w:val="nil"/>
            </w:tcBorders>
            <w:shd w:val="clear" w:color="auto" w:fill="C0C0C0"/>
          </w:tcPr>
          <w:p w14:paraId="226895F1" w14:textId="77777777" w:rsidR="00B764FC" w:rsidRDefault="00B764FC">
            <w:pPr>
              <w:spacing w:before="60"/>
              <w:ind w:right="317"/>
              <w:jc w:val="right"/>
              <w:rPr>
                <w:b/>
                <w:bCs/>
                <w:i/>
                <w:iCs/>
                <w:sz w:val="20"/>
                <w:szCs w:val="20"/>
              </w:rPr>
            </w:pPr>
            <w:r>
              <w:rPr>
                <w:b/>
                <w:bCs/>
                <w:i/>
                <w:iCs/>
                <w:sz w:val="20"/>
                <w:szCs w:val="20"/>
              </w:rPr>
              <w:t>16%</w:t>
            </w:r>
          </w:p>
        </w:tc>
        <w:tc>
          <w:tcPr>
            <w:tcW w:w="1900" w:type="dxa"/>
            <w:tcBorders>
              <w:left w:val="nil"/>
              <w:right w:val="nil"/>
            </w:tcBorders>
            <w:shd w:val="clear" w:color="auto" w:fill="C0C0C0"/>
          </w:tcPr>
          <w:p w14:paraId="214D0044" w14:textId="77777777" w:rsidR="00B764FC" w:rsidRDefault="00B764FC">
            <w:pPr>
              <w:spacing w:before="60"/>
              <w:ind w:right="317"/>
              <w:jc w:val="right"/>
              <w:rPr>
                <w:b/>
                <w:bCs/>
                <w:i/>
                <w:iCs/>
                <w:sz w:val="20"/>
                <w:szCs w:val="20"/>
              </w:rPr>
            </w:pPr>
          </w:p>
        </w:tc>
      </w:tr>
      <w:tr w:rsidR="00B764FC" w14:paraId="36FCD1B6" w14:textId="77777777">
        <w:tc>
          <w:tcPr>
            <w:tcW w:w="5412" w:type="dxa"/>
            <w:gridSpan w:val="2"/>
            <w:tcBorders>
              <w:left w:val="nil"/>
              <w:right w:val="nil"/>
            </w:tcBorders>
            <w:shd w:val="clear" w:color="auto" w:fill="C0C0C0"/>
          </w:tcPr>
          <w:p w14:paraId="58695698" w14:textId="77777777" w:rsidR="00B764FC" w:rsidRDefault="00B764FC">
            <w:pPr>
              <w:spacing w:before="60"/>
              <w:rPr>
                <w:b/>
                <w:bCs/>
                <w:i/>
                <w:iCs/>
                <w:sz w:val="20"/>
                <w:szCs w:val="20"/>
              </w:rPr>
            </w:pPr>
            <w:r>
              <w:rPr>
                <w:b/>
                <w:bCs/>
                <w:i/>
                <w:iCs/>
                <w:sz w:val="20"/>
                <w:szCs w:val="20"/>
              </w:rPr>
              <w:t>Total</w:t>
            </w:r>
          </w:p>
        </w:tc>
        <w:tc>
          <w:tcPr>
            <w:tcW w:w="1902" w:type="dxa"/>
            <w:tcBorders>
              <w:left w:val="nil"/>
              <w:right w:val="nil"/>
            </w:tcBorders>
            <w:shd w:val="clear" w:color="auto" w:fill="C0C0C0"/>
          </w:tcPr>
          <w:p w14:paraId="5C2BF443" w14:textId="77777777" w:rsidR="00B764FC" w:rsidRDefault="00B764FC">
            <w:pPr>
              <w:spacing w:before="60"/>
              <w:ind w:right="317"/>
              <w:jc w:val="right"/>
              <w:rPr>
                <w:b/>
                <w:bCs/>
                <w:i/>
                <w:iCs/>
                <w:sz w:val="20"/>
                <w:szCs w:val="20"/>
              </w:rPr>
            </w:pPr>
            <w:r>
              <w:rPr>
                <w:b/>
                <w:bCs/>
                <w:i/>
                <w:iCs/>
                <w:sz w:val="20"/>
                <w:szCs w:val="20"/>
              </w:rPr>
              <w:t>100%</w:t>
            </w:r>
          </w:p>
        </w:tc>
        <w:tc>
          <w:tcPr>
            <w:tcW w:w="1900" w:type="dxa"/>
            <w:tcBorders>
              <w:left w:val="nil"/>
              <w:right w:val="nil"/>
            </w:tcBorders>
            <w:shd w:val="clear" w:color="auto" w:fill="C0C0C0"/>
          </w:tcPr>
          <w:p w14:paraId="1D468F86" w14:textId="77777777" w:rsidR="00B764FC" w:rsidRDefault="00B764FC">
            <w:pPr>
              <w:spacing w:before="60"/>
              <w:ind w:right="317"/>
              <w:jc w:val="right"/>
              <w:rPr>
                <w:b/>
                <w:bCs/>
                <w:i/>
                <w:iCs/>
                <w:sz w:val="20"/>
                <w:szCs w:val="20"/>
              </w:rPr>
            </w:pPr>
          </w:p>
        </w:tc>
      </w:tr>
    </w:tbl>
    <w:p w14:paraId="1C05F847" w14:textId="77777777" w:rsidR="00B764FC" w:rsidRDefault="00B764FC">
      <w:pPr>
        <w:rPr>
          <w:sz w:val="20"/>
          <w:szCs w:val="20"/>
        </w:rPr>
      </w:pPr>
      <w:r>
        <w:rPr>
          <w:i/>
          <w:iCs/>
          <w:sz w:val="20"/>
          <w:szCs w:val="20"/>
        </w:rPr>
        <w:t>Source</w:t>
      </w:r>
      <w:r>
        <w:rPr>
          <w:sz w:val="20"/>
          <w:szCs w:val="20"/>
        </w:rPr>
        <w:t>:</w:t>
      </w:r>
      <w:r>
        <w:rPr>
          <w:sz w:val="20"/>
          <w:szCs w:val="20"/>
        </w:rPr>
        <w:tab/>
        <w:t>ABS, 2016</w:t>
      </w:r>
    </w:p>
    <w:p w14:paraId="2C12885F" w14:textId="77777777" w:rsidR="00B764FC" w:rsidRDefault="00B764FC">
      <w:pPr>
        <w:spacing w:line="276" w:lineRule="auto"/>
      </w:pPr>
    </w:p>
    <w:p w14:paraId="5E06706A" w14:textId="77777777" w:rsidR="00B764FC" w:rsidRDefault="00B764FC">
      <w:pPr>
        <w:spacing w:line="276" w:lineRule="auto"/>
        <w:jc w:val="both"/>
        <w:rPr>
          <w:sz w:val="22"/>
          <w:szCs w:val="22"/>
        </w:rPr>
      </w:pPr>
      <w:r>
        <w:rPr>
          <w:sz w:val="22"/>
          <w:szCs w:val="22"/>
        </w:rPr>
        <w:t xml:space="preserve">This high concentration of social housing in particular areas has contributed to higher levels of disadvantage in Corio, Norlane and the Whittington area.  </w:t>
      </w:r>
    </w:p>
    <w:p w14:paraId="38136C6C" w14:textId="77777777" w:rsidR="00B764FC" w:rsidRDefault="00B764FC">
      <w:pPr>
        <w:pStyle w:val="Heading3"/>
        <w:spacing w:line="276" w:lineRule="auto"/>
        <w:jc w:val="both"/>
        <w:rPr>
          <w:rFonts w:ascii="Calibri" w:hAnsi="Calibri" w:cs="Calibri"/>
        </w:rPr>
      </w:pPr>
    </w:p>
    <w:p w14:paraId="5C3343E0" w14:textId="77777777" w:rsidR="00B764FC" w:rsidRDefault="00B764FC">
      <w:pPr>
        <w:pStyle w:val="Heading3"/>
        <w:spacing w:line="276" w:lineRule="auto"/>
        <w:jc w:val="both"/>
        <w:rPr>
          <w:rFonts w:ascii="Calibri" w:hAnsi="Calibri" w:cs="Calibri"/>
          <w:b/>
          <w:bCs/>
          <w:i w:val="0"/>
          <w:iCs w:val="0"/>
        </w:rPr>
      </w:pPr>
      <w:r>
        <w:rPr>
          <w:rFonts w:ascii="Calibri" w:hAnsi="Calibri" w:cs="Calibri"/>
          <w:b/>
          <w:bCs/>
          <w:i w:val="0"/>
          <w:iCs w:val="0"/>
        </w:rPr>
        <w:t>What is the expressed unmet demand (social housing waiting lists</w:t>
      </w:r>
      <w:bookmarkEnd w:id="84"/>
      <w:bookmarkEnd w:id="85"/>
      <w:bookmarkEnd w:id="86"/>
      <w:r>
        <w:rPr>
          <w:rFonts w:ascii="Calibri" w:hAnsi="Calibri" w:cs="Calibri"/>
          <w:b/>
          <w:bCs/>
          <w:i w:val="0"/>
          <w:iCs w:val="0"/>
        </w:rPr>
        <w:t>)?</w:t>
      </w:r>
    </w:p>
    <w:p w14:paraId="35BFBDA5" w14:textId="77777777" w:rsidR="00B764FC" w:rsidRDefault="00B764FC">
      <w:pPr>
        <w:spacing w:after="240" w:line="276" w:lineRule="auto"/>
        <w:jc w:val="both"/>
        <w:rPr>
          <w:sz w:val="22"/>
          <w:szCs w:val="22"/>
        </w:rPr>
      </w:pPr>
      <w:r>
        <w:rPr>
          <w:sz w:val="22"/>
          <w:szCs w:val="22"/>
        </w:rPr>
        <w:t>The number of households on the social housing waiting list provides complementary information about the demand for social housing.  Households on the waiting list are likely to be experiencing housing stress, or homelessness.</w:t>
      </w:r>
    </w:p>
    <w:p w14:paraId="17DB318B" w14:textId="254846B2" w:rsidR="00B764FC" w:rsidRDefault="00B764FC">
      <w:pPr>
        <w:pStyle w:val="Caption"/>
        <w:rPr>
          <w:b/>
          <w:bCs/>
        </w:rPr>
      </w:pPr>
      <w:bookmarkStart w:id="88" w:name="_Toc4418799"/>
      <w:bookmarkStart w:id="89" w:name="_Toc4508303"/>
      <w:bookmarkStart w:id="90" w:name="_Toc22120045"/>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10</w:t>
      </w:r>
      <w:r w:rsidR="00FF5CA4">
        <w:rPr>
          <w:b/>
          <w:bCs/>
        </w:rPr>
        <w:fldChar w:fldCharType="end"/>
      </w:r>
      <w:r>
        <w:rPr>
          <w:b/>
          <w:bCs/>
        </w:rPr>
        <w:t>: Number of Households on Social Housing Waiting List - 2018</w:t>
      </w:r>
      <w:bookmarkEnd w:id="88"/>
      <w:bookmarkEnd w:id="89"/>
      <w:bookmarkEnd w:id="90"/>
    </w:p>
    <w:tbl>
      <w:tblPr>
        <w:tblW w:w="0" w:type="auto"/>
        <w:tblInd w:w="-28" w:type="dxa"/>
        <w:tblBorders>
          <w:top w:val="single" w:sz="6" w:space="0" w:color="000000"/>
          <w:bottom w:val="single" w:sz="6" w:space="0" w:color="000000"/>
          <w:insideH w:val="single" w:sz="6" w:space="0" w:color="000000"/>
        </w:tblBorders>
        <w:tblLayout w:type="fixed"/>
        <w:tblCellMar>
          <w:left w:w="30" w:type="dxa"/>
          <w:right w:w="30" w:type="dxa"/>
        </w:tblCellMar>
        <w:tblLook w:val="0000" w:firstRow="0" w:lastRow="0" w:firstColumn="0" w:lastColumn="0" w:noHBand="0" w:noVBand="0"/>
      </w:tblPr>
      <w:tblGrid>
        <w:gridCol w:w="3247"/>
        <w:gridCol w:w="2158"/>
        <w:gridCol w:w="2250"/>
        <w:gridCol w:w="1559"/>
      </w:tblGrid>
      <w:tr w:rsidR="00B764FC" w14:paraId="1FFAE632" w14:textId="77777777" w:rsidTr="004B2308">
        <w:trPr>
          <w:trHeight w:val="331"/>
        </w:trPr>
        <w:tc>
          <w:tcPr>
            <w:tcW w:w="3247" w:type="dxa"/>
            <w:tcBorders>
              <w:left w:val="nil"/>
              <w:right w:val="nil"/>
            </w:tcBorders>
            <w:shd w:val="clear" w:color="auto" w:fill="002060"/>
            <w:vAlign w:val="center"/>
          </w:tcPr>
          <w:p w14:paraId="4F0869BA" w14:textId="77777777" w:rsidR="00B764FC" w:rsidRDefault="00B764FC">
            <w:pPr>
              <w:rPr>
                <w:b/>
                <w:bCs/>
                <w:snapToGrid w:val="0"/>
                <w:color w:val="FFFFFF"/>
                <w:sz w:val="20"/>
                <w:szCs w:val="20"/>
              </w:rPr>
            </w:pPr>
            <w:r>
              <w:rPr>
                <w:b/>
                <w:bCs/>
                <w:snapToGrid w:val="0"/>
                <w:color w:val="FFFFFF"/>
                <w:sz w:val="20"/>
                <w:szCs w:val="20"/>
              </w:rPr>
              <w:t>Area (office)</w:t>
            </w:r>
          </w:p>
        </w:tc>
        <w:tc>
          <w:tcPr>
            <w:tcW w:w="2158" w:type="dxa"/>
            <w:tcBorders>
              <w:left w:val="nil"/>
              <w:right w:val="nil"/>
            </w:tcBorders>
            <w:shd w:val="clear" w:color="auto" w:fill="002060"/>
            <w:vAlign w:val="center"/>
          </w:tcPr>
          <w:p w14:paraId="10CCE24F" w14:textId="77777777" w:rsidR="00B764FC" w:rsidRDefault="00B764FC">
            <w:pPr>
              <w:jc w:val="center"/>
              <w:rPr>
                <w:b/>
                <w:bCs/>
                <w:snapToGrid w:val="0"/>
                <w:color w:val="FFFFFF"/>
                <w:sz w:val="20"/>
                <w:szCs w:val="20"/>
              </w:rPr>
            </w:pPr>
            <w:r>
              <w:rPr>
                <w:b/>
                <w:bCs/>
                <w:snapToGrid w:val="0"/>
                <w:color w:val="FFFFFF"/>
                <w:sz w:val="20"/>
                <w:szCs w:val="20"/>
              </w:rPr>
              <w:t>Priority Access</w:t>
            </w:r>
          </w:p>
        </w:tc>
        <w:tc>
          <w:tcPr>
            <w:tcW w:w="2250" w:type="dxa"/>
            <w:tcBorders>
              <w:left w:val="nil"/>
              <w:right w:val="nil"/>
            </w:tcBorders>
            <w:shd w:val="clear" w:color="auto" w:fill="002060"/>
            <w:vAlign w:val="center"/>
          </w:tcPr>
          <w:p w14:paraId="1F12AD18" w14:textId="77777777" w:rsidR="00B764FC" w:rsidRDefault="00B764FC">
            <w:pPr>
              <w:jc w:val="center"/>
              <w:rPr>
                <w:b/>
                <w:bCs/>
                <w:snapToGrid w:val="0"/>
                <w:color w:val="FFFFFF"/>
                <w:sz w:val="20"/>
                <w:szCs w:val="20"/>
              </w:rPr>
            </w:pPr>
            <w:r>
              <w:rPr>
                <w:b/>
                <w:bCs/>
                <w:snapToGrid w:val="0"/>
                <w:color w:val="FFFFFF"/>
                <w:sz w:val="20"/>
                <w:szCs w:val="20"/>
              </w:rPr>
              <w:t>Register of Interest</w:t>
            </w:r>
          </w:p>
        </w:tc>
        <w:tc>
          <w:tcPr>
            <w:tcW w:w="1559" w:type="dxa"/>
            <w:tcBorders>
              <w:left w:val="nil"/>
              <w:right w:val="nil"/>
            </w:tcBorders>
            <w:shd w:val="clear" w:color="auto" w:fill="002060"/>
            <w:vAlign w:val="center"/>
          </w:tcPr>
          <w:p w14:paraId="2A8734A2" w14:textId="77777777" w:rsidR="00B764FC" w:rsidRDefault="00B764FC">
            <w:pPr>
              <w:jc w:val="center"/>
              <w:rPr>
                <w:b/>
                <w:bCs/>
                <w:snapToGrid w:val="0"/>
                <w:color w:val="FFFFFF"/>
                <w:sz w:val="20"/>
                <w:szCs w:val="20"/>
              </w:rPr>
            </w:pPr>
            <w:r>
              <w:rPr>
                <w:b/>
                <w:bCs/>
                <w:snapToGrid w:val="0"/>
                <w:color w:val="FFFFFF"/>
                <w:sz w:val="20"/>
                <w:szCs w:val="20"/>
              </w:rPr>
              <w:t>Total</w:t>
            </w:r>
          </w:p>
        </w:tc>
      </w:tr>
      <w:tr w:rsidR="00B764FC" w14:paraId="3377BDE1" w14:textId="77777777">
        <w:trPr>
          <w:trHeight w:val="190"/>
        </w:trPr>
        <w:tc>
          <w:tcPr>
            <w:tcW w:w="3247" w:type="dxa"/>
            <w:tcBorders>
              <w:left w:val="nil"/>
              <w:right w:val="nil"/>
            </w:tcBorders>
            <w:vAlign w:val="center"/>
          </w:tcPr>
          <w:p w14:paraId="775DE09B" w14:textId="77777777" w:rsidR="00B764FC" w:rsidRDefault="00B764FC">
            <w:pPr>
              <w:rPr>
                <w:snapToGrid w:val="0"/>
                <w:sz w:val="20"/>
                <w:szCs w:val="20"/>
              </w:rPr>
            </w:pPr>
            <w:r>
              <w:rPr>
                <w:snapToGrid w:val="0"/>
                <w:sz w:val="20"/>
                <w:szCs w:val="20"/>
              </w:rPr>
              <w:t>Barwon (Geelong)</w:t>
            </w:r>
          </w:p>
        </w:tc>
        <w:tc>
          <w:tcPr>
            <w:tcW w:w="2158" w:type="dxa"/>
            <w:tcBorders>
              <w:left w:val="nil"/>
              <w:right w:val="nil"/>
            </w:tcBorders>
            <w:vAlign w:val="center"/>
          </w:tcPr>
          <w:p w14:paraId="677E8F58" w14:textId="77777777" w:rsidR="00B764FC" w:rsidRDefault="00B764FC">
            <w:pPr>
              <w:ind w:right="396"/>
              <w:jc w:val="center"/>
              <w:rPr>
                <w:snapToGrid w:val="0"/>
                <w:sz w:val="20"/>
                <w:szCs w:val="20"/>
              </w:rPr>
            </w:pPr>
            <w:r>
              <w:rPr>
                <w:snapToGrid w:val="0"/>
                <w:sz w:val="20"/>
                <w:szCs w:val="20"/>
              </w:rPr>
              <w:t>1,610</w:t>
            </w:r>
          </w:p>
        </w:tc>
        <w:tc>
          <w:tcPr>
            <w:tcW w:w="2250" w:type="dxa"/>
            <w:tcBorders>
              <w:left w:val="nil"/>
              <w:right w:val="nil"/>
            </w:tcBorders>
            <w:vAlign w:val="center"/>
          </w:tcPr>
          <w:p w14:paraId="7D4E18AD" w14:textId="77777777" w:rsidR="00B764FC" w:rsidRDefault="00B764FC">
            <w:pPr>
              <w:ind w:right="396"/>
              <w:jc w:val="center"/>
              <w:rPr>
                <w:snapToGrid w:val="0"/>
                <w:sz w:val="20"/>
                <w:szCs w:val="20"/>
              </w:rPr>
            </w:pPr>
            <w:r>
              <w:rPr>
                <w:snapToGrid w:val="0"/>
                <w:sz w:val="20"/>
                <w:szCs w:val="20"/>
              </w:rPr>
              <w:t>1,089</w:t>
            </w:r>
          </w:p>
        </w:tc>
        <w:tc>
          <w:tcPr>
            <w:tcW w:w="1559" w:type="dxa"/>
            <w:tcBorders>
              <w:left w:val="nil"/>
              <w:right w:val="nil"/>
            </w:tcBorders>
            <w:vAlign w:val="center"/>
          </w:tcPr>
          <w:p w14:paraId="3815B2C3" w14:textId="77777777" w:rsidR="00B764FC" w:rsidRDefault="00B764FC">
            <w:pPr>
              <w:ind w:right="396"/>
              <w:jc w:val="center"/>
              <w:rPr>
                <w:snapToGrid w:val="0"/>
                <w:sz w:val="20"/>
                <w:szCs w:val="20"/>
              </w:rPr>
            </w:pPr>
            <w:r>
              <w:rPr>
                <w:snapToGrid w:val="0"/>
                <w:sz w:val="20"/>
                <w:szCs w:val="20"/>
              </w:rPr>
              <w:t>2,699</w:t>
            </w:r>
          </w:p>
        </w:tc>
      </w:tr>
    </w:tbl>
    <w:p w14:paraId="13BC2ED1" w14:textId="77777777" w:rsidR="00B764FC" w:rsidRDefault="00B764FC">
      <w:pPr>
        <w:pStyle w:val="TF"/>
      </w:pPr>
      <w:r>
        <w:rPr>
          <w:i/>
          <w:iCs/>
        </w:rPr>
        <w:t>Source</w:t>
      </w:r>
      <w:r>
        <w:t>: DHHS, Dec 2018</w:t>
      </w:r>
    </w:p>
    <w:p w14:paraId="355CC5BE" w14:textId="1C147EAD" w:rsidR="00B764FC" w:rsidRDefault="00B764FC">
      <w:pPr>
        <w:pStyle w:val="Caption"/>
        <w:rPr>
          <w:b/>
          <w:bCs/>
        </w:rPr>
      </w:pPr>
      <w:bookmarkStart w:id="91" w:name="_Toc4418800"/>
      <w:bookmarkStart w:id="92" w:name="_Toc4508304"/>
      <w:bookmarkStart w:id="93" w:name="_Toc22120046"/>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11</w:t>
      </w:r>
      <w:r w:rsidR="00FF5CA4">
        <w:rPr>
          <w:b/>
          <w:bCs/>
        </w:rPr>
        <w:fldChar w:fldCharType="end"/>
      </w:r>
      <w:r>
        <w:rPr>
          <w:b/>
          <w:bCs/>
        </w:rPr>
        <w:t>: Number of Households on the Office of Housing Transition List December - 2018</w:t>
      </w:r>
      <w:bookmarkEnd w:id="91"/>
      <w:bookmarkEnd w:id="92"/>
      <w:bookmarkEnd w:id="93"/>
      <w:r>
        <w:rPr>
          <w:b/>
          <w:bCs/>
        </w:rPr>
        <w:t xml:space="preserve"> </w:t>
      </w:r>
    </w:p>
    <w:tbl>
      <w:tblPr>
        <w:tblW w:w="0" w:type="auto"/>
        <w:tblInd w:w="-28" w:type="dxa"/>
        <w:tblBorders>
          <w:top w:val="single" w:sz="6" w:space="0" w:color="000000"/>
          <w:bottom w:val="single" w:sz="6" w:space="0" w:color="000000"/>
          <w:insideH w:val="single" w:sz="6" w:space="0" w:color="000000"/>
        </w:tblBorders>
        <w:tblLayout w:type="fixed"/>
        <w:tblCellMar>
          <w:left w:w="30" w:type="dxa"/>
          <w:right w:w="30" w:type="dxa"/>
        </w:tblCellMar>
        <w:tblLook w:val="0000" w:firstRow="0" w:lastRow="0" w:firstColumn="0" w:lastColumn="0" w:noHBand="0" w:noVBand="0"/>
      </w:tblPr>
      <w:tblGrid>
        <w:gridCol w:w="3155"/>
        <w:gridCol w:w="2252"/>
        <w:gridCol w:w="2250"/>
        <w:gridCol w:w="1557"/>
      </w:tblGrid>
      <w:tr w:rsidR="00B764FC" w14:paraId="6BFCE830" w14:textId="77777777" w:rsidTr="004B2308">
        <w:trPr>
          <w:trHeight w:val="331"/>
        </w:trPr>
        <w:tc>
          <w:tcPr>
            <w:tcW w:w="3155" w:type="dxa"/>
            <w:tcBorders>
              <w:left w:val="nil"/>
              <w:right w:val="nil"/>
            </w:tcBorders>
            <w:shd w:val="clear" w:color="auto" w:fill="002060"/>
          </w:tcPr>
          <w:p w14:paraId="431ADE3E" w14:textId="77777777" w:rsidR="00B764FC" w:rsidRDefault="00B764FC">
            <w:pPr>
              <w:rPr>
                <w:b/>
                <w:bCs/>
                <w:snapToGrid w:val="0"/>
                <w:color w:val="FFFFFF"/>
                <w:sz w:val="20"/>
                <w:szCs w:val="20"/>
              </w:rPr>
            </w:pPr>
            <w:r>
              <w:rPr>
                <w:b/>
                <w:bCs/>
                <w:snapToGrid w:val="0"/>
                <w:color w:val="FFFFFF"/>
                <w:sz w:val="20"/>
                <w:szCs w:val="20"/>
              </w:rPr>
              <w:t>Area (office)</w:t>
            </w:r>
          </w:p>
        </w:tc>
        <w:tc>
          <w:tcPr>
            <w:tcW w:w="2252" w:type="dxa"/>
            <w:tcBorders>
              <w:left w:val="nil"/>
              <w:right w:val="nil"/>
            </w:tcBorders>
            <w:shd w:val="clear" w:color="auto" w:fill="002060"/>
            <w:vAlign w:val="center"/>
          </w:tcPr>
          <w:p w14:paraId="78CCD0A7" w14:textId="77777777" w:rsidR="00B764FC" w:rsidRDefault="00B764FC">
            <w:pPr>
              <w:jc w:val="center"/>
              <w:rPr>
                <w:b/>
                <w:bCs/>
                <w:snapToGrid w:val="0"/>
                <w:color w:val="FFFFFF"/>
                <w:sz w:val="20"/>
                <w:szCs w:val="20"/>
              </w:rPr>
            </w:pPr>
            <w:r>
              <w:rPr>
                <w:b/>
                <w:bCs/>
                <w:snapToGrid w:val="0"/>
                <w:color w:val="FFFFFF"/>
                <w:sz w:val="20"/>
                <w:szCs w:val="20"/>
              </w:rPr>
              <w:t>Priority Access</w:t>
            </w:r>
          </w:p>
        </w:tc>
        <w:tc>
          <w:tcPr>
            <w:tcW w:w="2250" w:type="dxa"/>
            <w:tcBorders>
              <w:left w:val="nil"/>
              <w:right w:val="nil"/>
            </w:tcBorders>
            <w:shd w:val="clear" w:color="auto" w:fill="002060"/>
            <w:vAlign w:val="center"/>
          </w:tcPr>
          <w:p w14:paraId="646D9897" w14:textId="77777777" w:rsidR="00B764FC" w:rsidRDefault="00B764FC">
            <w:pPr>
              <w:jc w:val="center"/>
              <w:rPr>
                <w:b/>
                <w:bCs/>
                <w:snapToGrid w:val="0"/>
                <w:color w:val="FFFFFF"/>
                <w:sz w:val="20"/>
                <w:szCs w:val="20"/>
              </w:rPr>
            </w:pPr>
            <w:r>
              <w:rPr>
                <w:b/>
                <w:bCs/>
                <w:snapToGrid w:val="0"/>
                <w:color w:val="FFFFFF"/>
                <w:sz w:val="20"/>
                <w:szCs w:val="20"/>
              </w:rPr>
              <w:t>Register of Interest</w:t>
            </w:r>
          </w:p>
        </w:tc>
        <w:tc>
          <w:tcPr>
            <w:tcW w:w="1557" w:type="dxa"/>
            <w:tcBorders>
              <w:left w:val="nil"/>
              <w:right w:val="nil"/>
            </w:tcBorders>
            <w:shd w:val="clear" w:color="auto" w:fill="002060"/>
            <w:vAlign w:val="center"/>
          </w:tcPr>
          <w:p w14:paraId="5B83D7DC" w14:textId="77777777" w:rsidR="00B764FC" w:rsidRDefault="00B764FC">
            <w:pPr>
              <w:jc w:val="center"/>
              <w:rPr>
                <w:b/>
                <w:bCs/>
                <w:snapToGrid w:val="0"/>
                <w:color w:val="FFFFFF"/>
                <w:sz w:val="20"/>
                <w:szCs w:val="20"/>
              </w:rPr>
            </w:pPr>
            <w:r>
              <w:rPr>
                <w:b/>
                <w:bCs/>
                <w:snapToGrid w:val="0"/>
                <w:color w:val="FFFFFF"/>
                <w:sz w:val="20"/>
                <w:szCs w:val="20"/>
              </w:rPr>
              <w:t>Total</w:t>
            </w:r>
          </w:p>
        </w:tc>
      </w:tr>
      <w:tr w:rsidR="00B764FC" w14:paraId="46DAB871" w14:textId="77777777">
        <w:trPr>
          <w:trHeight w:val="209"/>
        </w:trPr>
        <w:tc>
          <w:tcPr>
            <w:tcW w:w="3155" w:type="dxa"/>
            <w:tcBorders>
              <w:left w:val="nil"/>
              <w:right w:val="nil"/>
            </w:tcBorders>
            <w:shd w:val="solid" w:color="FFFFFF" w:fill="auto"/>
          </w:tcPr>
          <w:p w14:paraId="60646E66" w14:textId="77777777" w:rsidR="00B764FC" w:rsidRDefault="00B764FC">
            <w:pPr>
              <w:rPr>
                <w:snapToGrid w:val="0"/>
                <w:sz w:val="20"/>
                <w:szCs w:val="20"/>
              </w:rPr>
            </w:pPr>
            <w:r>
              <w:rPr>
                <w:snapToGrid w:val="0"/>
                <w:sz w:val="20"/>
                <w:szCs w:val="20"/>
              </w:rPr>
              <w:t>Barwon (Geelong)</w:t>
            </w:r>
          </w:p>
        </w:tc>
        <w:tc>
          <w:tcPr>
            <w:tcW w:w="2252" w:type="dxa"/>
            <w:tcBorders>
              <w:left w:val="nil"/>
              <w:right w:val="nil"/>
            </w:tcBorders>
            <w:vAlign w:val="center"/>
          </w:tcPr>
          <w:p w14:paraId="07EC2DBA" w14:textId="77777777" w:rsidR="00B764FC" w:rsidRDefault="00B764FC">
            <w:pPr>
              <w:ind w:right="396"/>
              <w:jc w:val="center"/>
              <w:rPr>
                <w:snapToGrid w:val="0"/>
                <w:sz w:val="20"/>
                <w:szCs w:val="20"/>
              </w:rPr>
            </w:pPr>
            <w:r>
              <w:rPr>
                <w:snapToGrid w:val="0"/>
                <w:sz w:val="20"/>
                <w:szCs w:val="20"/>
              </w:rPr>
              <w:t>206</w:t>
            </w:r>
          </w:p>
        </w:tc>
        <w:tc>
          <w:tcPr>
            <w:tcW w:w="2250" w:type="dxa"/>
            <w:tcBorders>
              <w:left w:val="nil"/>
              <w:right w:val="nil"/>
            </w:tcBorders>
            <w:vAlign w:val="center"/>
          </w:tcPr>
          <w:p w14:paraId="0AA2F6EA" w14:textId="77777777" w:rsidR="00B764FC" w:rsidRDefault="00B764FC">
            <w:pPr>
              <w:ind w:right="396"/>
              <w:jc w:val="center"/>
              <w:rPr>
                <w:snapToGrid w:val="0"/>
                <w:sz w:val="20"/>
                <w:szCs w:val="20"/>
              </w:rPr>
            </w:pPr>
            <w:r>
              <w:rPr>
                <w:snapToGrid w:val="0"/>
                <w:sz w:val="20"/>
                <w:szCs w:val="20"/>
              </w:rPr>
              <w:t>189</w:t>
            </w:r>
          </w:p>
        </w:tc>
        <w:tc>
          <w:tcPr>
            <w:tcW w:w="1557" w:type="dxa"/>
            <w:tcBorders>
              <w:left w:val="nil"/>
              <w:right w:val="nil"/>
            </w:tcBorders>
            <w:vAlign w:val="center"/>
          </w:tcPr>
          <w:p w14:paraId="28E72748" w14:textId="77777777" w:rsidR="00B764FC" w:rsidRDefault="00B764FC">
            <w:pPr>
              <w:ind w:right="396"/>
              <w:jc w:val="center"/>
              <w:rPr>
                <w:snapToGrid w:val="0"/>
                <w:sz w:val="20"/>
                <w:szCs w:val="20"/>
              </w:rPr>
            </w:pPr>
            <w:r>
              <w:rPr>
                <w:snapToGrid w:val="0"/>
                <w:sz w:val="20"/>
                <w:szCs w:val="20"/>
              </w:rPr>
              <w:t>395</w:t>
            </w:r>
          </w:p>
        </w:tc>
      </w:tr>
    </w:tbl>
    <w:p w14:paraId="4FE2A53C" w14:textId="77777777" w:rsidR="00B764FC" w:rsidRDefault="00B764FC">
      <w:pPr>
        <w:pStyle w:val="TF"/>
      </w:pPr>
      <w:r>
        <w:rPr>
          <w:i/>
          <w:iCs/>
        </w:rPr>
        <w:t>Source</w:t>
      </w:r>
      <w:r>
        <w:t>: DHHS, Dec 2018</w:t>
      </w:r>
    </w:p>
    <w:p w14:paraId="44E9D500" w14:textId="77777777" w:rsidR="00B764FC" w:rsidRDefault="00B764FC">
      <w:pPr>
        <w:spacing w:before="240" w:after="240" w:line="276" w:lineRule="auto"/>
        <w:jc w:val="both"/>
        <w:rPr>
          <w:sz w:val="22"/>
          <w:szCs w:val="22"/>
        </w:rPr>
      </w:pPr>
      <w:r>
        <w:rPr>
          <w:sz w:val="22"/>
          <w:szCs w:val="22"/>
        </w:rPr>
        <w:t>As indicated the number of households on the waiting list is the ‘expressed demand’, and does not represent the actual demand for social housing.  There are many households in rental stress who do not register, because they are aware of the significant waiting times, or because they wish to avoid the perceived stigma of becoming a public housing tenant.</w:t>
      </w:r>
    </w:p>
    <w:p w14:paraId="599D318C" w14:textId="77777777" w:rsidR="00B764FC" w:rsidRDefault="00B764FC">
      <w:pPr>
        <w:spacing w:before="240" w:after="240" w:line="276" w:lineRule="auto"/>
        <w:jc w:val="both"/>
        <w:rPr>
          <w:sz w:val="22"/>
          <w:szCs w:val="22"/>
        </w:rPr>
      </w:pPr>
    </w:p>
    <w:p w14:paraId="7E82ABCF" w14:textId="77777777" w:rsidR="00B764FC" w:rsidRDefault="00B764FC">
      <w:pPr>
        <w:spacing w:before="240" w:after="240" w:line="276" w:lineRule="auto"/>
        <w:jc w:val="both"/>
        <w:rPr>
          <w:sz w:val="22"/>
          <w:szCs w:val="22"/>
        </w:rPr>
      </w:pPr>
    </w:p>
    <w:p w14:paraId="7606303D" w14:textId="0CB70DB8" w:rsidR="00B764FC" w:rsidRDefault="00B764FC">
      <w:pPr>
        <w:spacing w:before="240" w:after="240" w:line="276" w:lineRule="auto"/>
        <w:jc w:val="both"/>
        <w:rPr>
          <w:sz w:val="22"/>
          <w:szCs w:val="22"/>
        </w:rPr>
      </w:pPr>
    </w:p>
    <w:p w14:paraId="6595F4C1" w14:textId="77777777" w:rsidR="00C44B7A" w:rsidRDefault="00C44B7A">
      <w:pPr>
        <w:spacing w:before="240" w:after="240" w:line="276" w:lineRule="auto"/>
        <w:jc w:val="both"/>
        <w:rPr>
          <w:sz w:val="22"/>
          <w:szCs w:val="22"/>
        </w:rPr>
      </w:pPr>
    </w:p>
    <w:p w14:paraId="667580BB" w14:textId="77777777" w:rsidR="00B764FC" w:rsidRPr="004B2308" w:rsidRDefault="00B764FC">
      <w:pPr>
        <w:pStyle w:val="Heading2"/>
      </w:pPr>
      <w:bookmarkStart w:id="94" w:name="_Toc22120171"/>
      <w:r w:rsidRPr="004B2308">
        <w:lastRenderedPageBreak/>
        <w:t>6.5</w:t>
      </w:r>
      <w:r w:rsidRPr="004B2308">
        <w:tab/>
        <w:t>What is the estimated total demand for social housing in Geelong?</w:t>
      </w:r>
      <w:bookmarkEnd w:id="94"/>
    </w:p>
    <w:p w14:paraId="44D8676A" w14:textId="77777777" w:rsidR="00B764FC" w:rsidRDefault="00B764FC">
      <w:pPr>
        <w:spacing w:before="240" w:after="240" w:line="276" w:lineRule="auto"/>
        <w:jc w:val="both"/>
        <w:rPr>
          <w:sz w:val="22"/>
          <w:szCs w:val="22"/>
        </w:rPr>
      </w:pPr>
      <w:r>
        <w:rPr>
          <w:sz w:val="22"/>
          <w:szCs w:val="22"/>
        </w:rPr>
        <w:t>The estimated demand for social housing is based on the following approach.  Demand is based on the sum of three components.</w:t>
      </w:r>
    </w:p>
    <w:p w14:paraId="3D043369"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The number of households currently living in social housing, based on ABS Census 2016 (the total number of households is 3,300 based on the ABS Census, 2016, as indicated above)</w:t>
      </w:r>
    </w:p>
    <w:p w14:paraId="65351E2E"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 xml:space="preserve">The number of households who are </w:t>
      </w:r>
      <w:r>
        <w:rPr>
          <w:b/>
          <w:bCs/>
          <w:sz w:val="22"/>
          <w:szCs w:val="22"/>
        </w:rPr>
        <w:t>experiencing ‘housing stress’ in the private rental</w:t>
      </w:r>
      <w:r>
        <w:rPr>
          <w:sz w:val="22"/>
          <w:szCs w:val="22"/>
        </w:rPr>
        <w:t xml:space="preserve"> </w:t>
      </w:r>
      <w:r>
        <w:rPr>
          <w:b/>
          <w:bCs/>
          <w:sz w:val="22"/>
          <w:szCs w:val="22"/>
        </w:rPr>
        <w:t>market</w:t>
      </w:r>
      <w:r>
        <w:rPr>
          <w:sz w:val="22"/>
          <w:szCs w:val="22"/>
        </w:rPr>
        <w:t xml:space="preserve"> (who are </w:t>
      </w:r>
      <w:r>
        <w:rPr>
          <w:i/>
          <w:iCs/>
          <w:sz w:val="22"/>
          <w:szCs w:val="22"/>
        </w:rPr>
        <w:t>not</w:t>
      </w:r>
      <w:r>
        <w:rPr>
          <w:sz w:val="22"/>
          <w:szCs w:val="22"/>
        </w:rPr>
        <w:t xml:space="preserve"> living in social housing), based on the ABS Census 2016.  Housing stress is defined as occurring when households on low incomes paying more than 30% of their income on rent </w:t>
      </w:r>
    </w:p>
    <w:p w14:paraId="41D3BF26"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The number of people who are homeless in Geelong, based on ABS Census, 2016 (see 6.2, above)</w:t>
      </w:r>
    </w:p>
    <w:p w14:paraId="7358F8FB" w14:textId="77777777" w:rsidR="00B764FC" w:rsidRDefault="00B764FC">
      <w:pPr>
        <w:tabs>
          <w:tab w:val="num" w:pos="1418"/>
        </w:tabs>
        <w:spacing w:before="60"/>
        <w:jc w:val="both"/>
      </w:pPr>
    </w:p>
    <w:p w14:paraId="3754AFC4" w14:textId="371666AB" w:rsidR="00B764FC" w:rsidRDefault="00B764FC">
      <w:pPr>
        <w:pStyle w:val="Caption"/>
        <w:rPr>
          <w:b/>
          <w:bCs/>
        </w:rPr>
      </w:pPr>
      <w:bookmarkStart w:id="95" w:name="_Ref17386485"/>
      <w:bookmarkStart w:id="96" w:name="_Toc4418801"/>
      <w:bookmarkStart w:id="97" w:name="_Toc4508305"/>
      <w:bookmarkStart w:id="98" w:name="_Toc22120047"/>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12</w:t>
      </w:r>
      <w:r w:rsidR="00FF5CA4">
        <w:rPr>
          <w:b/>
          <w:bCs/>
        </w:rPr>
        <w:fldChar w:fldCharType="end"/>
      </w:r>
      <w:bookmarkEnd w:id="95"/>
      <w:r>
        <w:rPr>
          <w:b/>
          <w:bCs/>
        </w:rPr>
        <w:t>: Estimated Demand for Social Housing - 2016</w:t>
      </w:r>
      <w:bookmarkEnd w:id="96"/>
      <w:bookmarkEnd w:id="97"/>
      <w:bookmarkEnd w:id="98"/>
      <w:r>
        <w:rPr>
          <w:b/>
          <w:bCs/>
        </w:rPr>
        <w:t xml:space="preserve"> </w:t>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361"/>
        <w:gridCol w:w="1839"/>
        <w:gridCol w:w="1839"/>
        <w:gridCol w:w="2175"/>
      </w:tblGrid>
      <w:tr w:rsidR="00B764FC" w14:paraId="0250FBAE" w14:textId="77777777" w:rsidTr="004B2308">
        <w:tc>
          <w:tcPr>
            <w:tcW w:w="3361" w:type="dxa"/>
            <w:tcBorders>
              <w:left w:val="nil"/>
              <w:right w:val="nil"/>
            </w:tcBorders>
            <w:shd w:val="clear" w:color="auto" w:fill="002060"/>
            <w:vAlign w:val="center"/>
          </w:tcPr>
          <w:p w14:paraId="46E7D256" w14:textId="77777777" w:rsidR="00B764FC" w:rsidRDefault="00B764FC">
            <w:pPr>
              <w:jc w:val="center"/>
              <w:rPr>
                <w:b/>
                <w:bCs/>
                <w:color w:val="FFFFFF"/>
                <w:sz w:val="20"/>
                <w:szCs w:val="20"/>
              </w:rPr>
            </w:pPr>
            <w:r>
              <w:rPr>
                <w:b/>
                <w:bCs/>
                <w:color w:val="FFFFFF"/>
                <w:sz w:val="20"/>
                <w:szCs w:val="20"/>
              </w:rPr>
              <w:t>Group</w:t>
            </w:r>
          </w:p>
        </w:tc>
        <w:tc>
          <w:tcPr>
            <w:tcW w:w="1839" w:type="dxa"/>
            <w:tcBorders>
              <w:left w:val="nil"/>
              <w:right w:val="nil"/>
            </w:tcBorders>
            <w:shd w:val="clear" w:color="auto" w:fill="002060"/>
            <w:vAlign w:val="center"/>
          </w:tcPr>
          <w:p w14:paraId="467D08CE" w14:textId="77777777" w:rsidR="00B764FC" w:rsidRDefault="00B764FC">
            <w:pPr>
              <w:jc w:val="center"/>
              <w:rPr>
                <w:b/>
                <w:bCs/>
                <w:color w:val="FFFFFF"/>
                <w:sz w:val="20"/>
                <w:szCs w:val="20"/>
              </w:rPr>
            </w:pPr>
            <w:r>
              <w:rPr>
                <w:b/>
                <w:bCs/>
                <w:color w:val="FFFFFF"/>
                <w:sz w:val="20"/>
                <w:szCs w:val="20"/>
              </w:rPr>
              <w:t>No. households</w:t>
            </w:r>
          </w:p>
        </w:tc>
        <w:tc>
          <w:tcPr>
            <w:tcW w:w="1839" w:type="dxa"/>
            <w:tcBorders>
              <w:left w:val="nil"/>
              <w:right w:val="nil"/>
            </w:tcBorders>
            <w:shd w:val="clear" w:color="auto" w:fill="002060"/>
            <w:vAlign w:val="center"/>
          </w:tcPr>
          <w:p w14:paraId="45C79F54" w14:textId="77777777" w:rsidR="00B764FC" w:rsidRDefault="00B764FC">
            <w:pPr>
              <w:jc w:val="center"/>
              <w:rPr>
                <w:b/>
                <w:bCs/>
                <w:color w:val="FFFFFF"/>
                <w:sz w:val="20"/>
                <w:szCs w:val="20"/>
              </w:rPr>
            </w:pPr>
            <w:r>
              <w:rPr>
                <w:b/>
                <w:bCs/>
                <w:color w:val="FFFFFF"/>
                <w:sz w:val="20"/>
                <w:szCs w:val="20"/>
              </w:rPr>
              <w:t>Adjustment factor</w:t>
            </w:r>
          </w:p>
        </w:tc>
        <w:tc>
          <w:tcPr>
            <w:tcW w:w="2175" w:type="dxa"/>
            <w:tcBorders>
              <w:left w:val="nil"/>
              <w:right w:val="nil"/>
            </w:tcBorders>
            <w:shd w:val="clear" w:color="auto" w:fill="002060"/>
            <w:vAlign w:val="center"/>
          </w:tcPr>
          <w:p w14:paraId="163820DA" w14:textId="77777777" w:rsidR="00B764FC" w:rsidRDefault="00B764FC">
            <w:pPr>
              <w:jc w:val="right"/>
              <w:rPr>
                <w:b/>
                <w:bCs/>
                <w:color w:val="FFFFFF"/>
                <w:sz w:val="20"/>
                <w:szCs w:val="20"/>
              </w:rPr>
            </w:pPr>
            <w:r>
              <w:rPr>
                <w:b/>
                <w:bCs/>
                <w:color w:val="FFFFFF"/>
                <w:sz w:val="20"/>
                <w:szCs w:val="20"/>
              </w:rPr>
              <w:t>Adjusted no. of households</w:t>
            </w:r>
          </w:p>
        </w:tc>
      </w:tr>
      <w:tr w:rsidR="00B764FC" w14:paraId="30BC926B" w14:textId="77777777">
        <w:tc>
          <w:tcPr>
            <w:tcW w:w="3361" w:type="dxa"/>
            <w:tcBorders>
              <w:left w:val="nil"/>
              <w:right w:val="nil"/>
            </w:tcBorders>
          </w:tcPr>
          <w:p w14:paraId="77D3E353" w14:textId="77777777" w:rsidR="00B764FC" w:rsidRDefault="00B764FC">
            <w:pPr>
              <w:spacing w:before="60"/>
              <w:rPr>
                <w:sz w:val="20"/>
                <w:szCs w:val="20"/>
              </w:rPr>
            </w:pPr>
            <w:r>
              <w:rPr>
                <w:sz w:val="20"/>
                <w:szCs w:val="20"/>
              </w:rPr>
              <w:t>Households renting social housing</w:t>
            </w:r>
          </w:p>
        </w:tc>
        <w:tc>
          <w:tcPr>
            <w:tcW w:w="1839" w:type="dxa"/>
            <w:tcBorders>
              <w:left w:val="nil"/>
              <w:right w:val="nil"/>
            </w:tcBorders>
            <w:vAlign w:val="center"/>
          </w:tcPr>
          <w:p w14:paraId="16C4F24D" w14:textId="77777777" w:rsidR="00B764FC" w:rsidRDefault="00B764FC">
            <w:pPr>
              <w:spacing w:before="60"/>
              <w:jc w:val="right"/>
              <w:rPr>
                <w:sz w:val="20"/>
                <w:szCs w:val="20"/>
              </w:rPr>
            </w:pPr>
            <w:r>
              <w:rPr>
                <w:sz w:val="20"/>
                <w:szCs w:val="20"/>
              </w:rPr>
              <w:t>3,300</w:t>
            </w:r>
          </w:p>
        </w:tc>
        <w:tc>
          <w:tcPr>
            <w:tcW w:w="1839" w:type="dxa"/>
            <w:tcBorders>
              <w:left w:val="nil"/>
              <w:right w:val="nil"/>
            </w:tcBorders>
            <w:vAlign w:val="center"/>
          </w:tcPr>
          <w:p w14:paraId="1C9023DB" w14:textId="77777777" w:rsidR="00B764FC" w:rsidRDefault="00B764FC">
            <w:pPr>
              <w:spacing w:before="60"/>
              <w:jc w:val="right"/>
              <w:rPr>
                <w:sz w:val="20"/>
                <w:szCs w:val="20"/>
              </w:rPr>
            </w:pPr>
            <w:r>
              <w:rPr>
                <w:sz w:val="20"/>
                <w:szCs w:val="20"/>
              </w:rPr>
              <w:t>100%</w:t>
            </w:r>
          </w:p>
        </w:tc>
        <w:tc>
          <w:tcPr>
            <w:tcW w:w="2175" w:type="dxa"/>
            <w:tcBorders>
              <w:left w:val="nil"/>
              <w:right w:val="nil"/>
            </w:tcBorders>
            <w:vAlign w:val="center"/>
          </w:tcPr>
          <w:p w14:paraId="60BC3EA8" w14:textId="77777777" w:rsidR="00B764FC" w:rsidRDefault="00B764FC">
            <w:pPr>
              <w:spacing w:before="60"/>
              <w:jc w:val="right"/>
              <w:rPr>
                <w:sz w:val="20"/>
                <w:szCs w:val="20"/>
              </w:rPr>
            </w:pPr>
            <w:r>
              <w:rPr>
                <w:sz w:val="20"/>
                <w:szCs w:val="20"/>
              </w:rPr>
              <w:t>3,300</w:t>
            </w:r>
          </w:p>
        </w:tc>
      </w:tr>
      <w:tr w:rsidR="00B764FC" w14:paraId="3F7F7A88" w14:textId="77777777">
        <w:tc>
          <w:tcPr>
            <w:tcW w:w="3361" w:type="dxa"/>
            <w:tcBorders>
              <w:left w:val="nil"/>
              <w:right w:val="nil"/>
            </w:tcBorders>
            <w:shd w:val="clear" w:color="auto" w:fill="FFFFFF"/>
          </w:tcPr>
          <w:p w14:paraId="4D49CF1D" w14:textId="77777777" w:rsidR="00B764FC" w:rsidRDefault="00B764FC">
            <w:pPr>
              <w:spacing w:before="60"/>
              <w:rPr>
                <w:sz w:val="20"/>
                <w:szCs w:val="20"/>
              </w:rPr>
            </w:pPr>
            <w:r>
              <w:rPr>
                <w:sz w:val="20"/>
                <w:szCs w:val="20"/>
              </w:rPr>
              <w:t>Very low-income rental households</w:t>
            </w:r>
          </w:p>
        </w:tc>
        <w:tc>
          <w:tcPr>
            <w:tcW w:w="1839" w:type="dxa"/>
            <w:tcBorders>
              <w:left w:val="nil"/>
              <w:right w:val="nil"/>
            </w:tcBorders>
            <w:shd w:val="clear" w:color="auto" w:fill="FFFFFF"/>
            <w:vAlign w:val="center"/>
          </w:tcPr>
          <w:p w14:paraId="239B66E0" w14:textId="77777777" w:rsidR="00B764FC" w:rsidRDefault="00B764FC">
            <w:pPr>
              <w:spacing w:before="60"/>
              <w:jc w:val="right"/>
              <w:rPr>
                <w:sz w:val="20"/>
                <w:szCs w:val="20"/>
              </w:rPr>
            </w:pPr>
            <w:r>
              <w:rPr>
                <w:sz w:val="20"/>
                <w:szCs w:val="20"/>
              </w:rPr>
              <w:t>2,138</w:t>
            </w:r>
          </w:p>
        </w:tc>
        <w:tc>
          <w:tcPr>
            <w:tcW w:w="1839" w:type="dxa"/>
            <w:tcBorders>
              <w:left w:val="nil"/>
              <w:right w:val="nil"/>
            </w:tcBorders>
            <w:shd w:val="clear" w:color="auto" w:fill="FFFFFF"/>
            <w:vAlign w:val="center"/>
          </w:tcPr>
          <w:p w14:paraId="1BC662F6" w14:textId="77777777" w:rsidR="00B764FC" w:rsidRDefault="00B764FC">
            <w:pPr>
              <w:spacing w:before="60"/>
              <w:jc w:val="right"/>
              <w:rPr>
                <w:sz w:val="20"/>
                <w:szCs w:val="20"/>
              </w:rPr>
            </w:pPr>
            <w:r>
              <w:rPr>
                <w:sz w:val="20"/>
                <w:szCs w:val="20"/>
              </w:rPr>
              <w:t>90%</w:t>
            </w:r>
          </w:p>
        </w:tc>
        <w:tc>
          <w:tcPr>
            <w:tcW w:w="2175" w:type="dxa"/>
            <w:tcBorders>
              <w:left w:val="nil"/>
              <w:right w:val="nil"/>
            </w:tcBorders>
            <w:shd w:val="clear" w:color="auto" w:fill="FFFFFF"/>
            <w:vAlign w:val="center"/>
          </w:tcPr>
          <w:p w14:paraId="24CF4B10" w14:textId="77777777" w:rsidR="00B764FC" w:rsidRDefault="00B764FC">
            <w:pPr>
              <w:spacing w:before="60"/>
              <w:jc w:val="right"/>
              <w:rPr>
                <w:sz w:val="20"/>
                <w:szCs w:val="20"/>
              </w:rPr>
            </w:pPr>
            <w:r>
              <w:rPr>
                <w:sz w:val="20"/>
                <w:szCs w:val="20"/>
              </w:rPr>
              <w:t>1,924</w:t>
            </w:r>
          </w:p>
        </w:tc>
      </w:tr>
      <w:tr w:rsidR="00B764FC" w14:paraId="35F079C2" w14:textId="77777777">
        <w:tc>
          <w:tcPr>
            <w:tcW w:w="3361" w:type="dxa"/>
            <w:tcBorders>
              <w:left w:val="nil"/>
              <w:right w:val="nil"/>
            </w:tcBorders>
          </w:tcPr>
          <w:p w14:paraId="188C8575" w14:textId="77777777" w:rsidR="00B764FC" w:rsidRDefault="00B764FC">
            <w:pPr>
              <w:spacing w:before="60"/>
              <w:rPr>
                <w:sz w:val="20"/>
                <w:szCs w:val="20"/>
              </w:rPr>
            </w:pPr>
            <w:r>
              <w:rPr>
                <w:sz w:val="20"/>
                <w:szCs w:val="20"/>
              </w:rPr>
              <w:t>Low income rental households</w:t>
            </w:r>
          </w:p>
        </w:tc>
        <w:tc>
          <w:tcPr>
            <w:tcW w:w="1839" w:type="dxa"/>
            <w:tcBorders>
              <w:left w:val="nil"/>
              <w:right w:val="nil"/>
            </w:tcBorders>
            <w:vAlign w:val="center"/>
          </w:tcPr>
          <w:p w14:paraId="61E88902" w14:textId="77777777" w:rsidR="00B764FC" w:rsidRDefault="00B764FC">
            <w:pPr>
              <w:spacing w:before="60"/>
              <w:jc w:val="right"/>
              <w:rPr>
                <w:sz w:val="20"/>
                <w:szCs w:val="20"/>
              </w:rPr>
            </w:pPr>
            <w:r>
              <w:rPr>
                <w:sz w:val="20"/>
                <w:szCs w:val="20"/>
              </w:rPr>
              <w:t>2,851</w:t>
            </w:r>
          </w:p>
        </w:tc>
        <w:tc>
          <w:tcPr>
            <w:tcW w:w="1839" w:type="dxa"/>
            <w:tcBorders>
              <w:left w:val="nil"/>
              <w:right w:val="nil"/>
            </w:tcBorders>
            <w:vAlign w:val="center"/>
          </w:tcPr>
          <w:p w14:paraId="30DCF1B6" w14:textId="77777777" w:rsidR="00B764FC" w:rsidRDefault="00B764FC">
            <w:pPr>
              <w:spacing w:before="60"/>
              <w:jc w:val="right"/>
              <w:rPr>
                <w:sz w:val="20"/>
                <w:szCs w:val="20"/>
              </w:rPr>
            </w:pPr>
            <w:r>
              <w:rPr>
                <w:sz w:val="20"/>
                <w:szCs w:val="20"/>
              </w:rPr>
              <w:t>85%</w:t>
            </w:r>
          </w:p>
        </w:tc>
        <w:tc>
          <w:tcPr>
            <w:tcW w:w="2175" w:type="dxa"/>
            <w:tcBorders>
              <w:left w:val="nil"/>
              <w:right w:val="nil"/>
            </w:tcBorders>
            <w:vAlign w:val="center"/>
          </w:tcPr>
          <w:p w14:paraId="2731A0BF" w14:textId="77777777" w:rsidR="00B764FC" w:rsidRDefault="00B764FC">
            <w:pPr>
              <w:spacing w:before="60"/>
              <w:jc w:val="right"/>
              <w:rPr>
                <w:sz w:val="20"/>
                <w:szCs w:val="20"/>
              </w:rPr>
            </w:pPr>
            <w:r>
              <w:rPr>
                <w:sz w:val="20"/>
                <w:szCs w:val="20"/>
              </w:rPr>
              <w:t>2,423</w:t>
            </w:r>
          </w:p>
        </w:tc>
      </w:tr>
      <w:tr w:rsidR="00B764FC" w14:paraId="1546A313" w14:textId="77777777">
        <w:tc>
          <w:tcPr>
            <w:tcW w:w="3361" w:type="dxa"/>
            <w:tcBorders>
              <w:left w:val="nil"/>
              <w:right w:val="nil"/>
            </w:tcBorders>
            <w:shd w:val="clear" w:color="auto" w:fill="FFFFFF"/>
          </w:tcPr>
          <w:p w14:paraId="657BCE0F" w14:textId="77777777" w:rsidR="00B764FC" w:rsidRDefault="00B764FC">
            <w:pPr>
              <w:spacing w:before="60"/>
              <w:rPr>
                <w:sz w:val="20"/>
                <w:szCs w:val="20"/>
              </w:rPr>
            </w:pPr>
            <w:r>
              <w:rPr>
                <w:sz w:val="20"/>
                <w:szCs w:val="20"/>
              </w:rPr>
              <w:t>Moderate income rental households</w:t>
            </w:r>
          </w:p>
        </w:tc>
        <w:tc>
          <w:tcPr>
            <w:tcW w:w="1839" w:type="dxa"/>
            <w:tcBorders>
              <w:left w:val="nil"/>
              <w:right w:val="nil"/>
            </w:tcBorders>
            <w:shd w:val="clear" w:color="auto" w:fill="FFFFFF"/>
            <w:vAlign w:val="center"/>
          </w:tcPr>
          <w:p w14:paraId="599CF355" w14:textId="77777777" w:rsidR="00B764FC" w:rsidRDefault="00B764FC">
            <w:pPr>
              <w:spacing w:before="60"/>
              <w:jc w:val="right"/>
              <w:rPr>
                <w:sz w:val="20"/>
                <w:szCs w:val="20"/>
              </w:rPr>
            </w:pPr>
            <w:r>
              <w:rPr>
                <w:sz w:val="20"/>
                <w:szCs w:val="20"/>
              </w:rPr>
              <w:t>1,822</w:t>
            </w:r>
          </w:p>
        </w:tc>
        <w:tc>
          <w:tcPr>
            <w:tcW w:w="1839" w:type="dxa"/>
            <w:tcBorders>
              <w:left w:val="nil"/>
              <w:right w:val="nil"/>
            </w:tcBorders>
            <w:shd w:val="clear" w:color="auto" w:fill="FFFFFF"/>
            <w:vAlign w:val="center"/>
          </w:tcPr>
          <w:p w14:paraId="752FF491" w14:textId="77777777" w:rsidR="00B764FC" w:rsidRDefault="00B764FC">
            <w:pPr>
              <w:spacing w:before="60"/>
              <w:jc w:val="right"/>
              <w:rPr>
                <w:sz w:val="20"/>
                <w:szCs w:val="20"/>
              </w:rPr>
            </w:pPr>
            <w:r>
              <w:rPr>
                <w:sz w:val="20"/>
                <w:szCs w:val="20"/>
              </w:rPr>
              <w:t>85%</w:t>
            </w:r>
          </w:p>
        </w:tc>
        <w:tc>
          <w:tcPr>
            <w:tcW w:w="2175" w:type="dxa"/>
            <w:tcBorders>
              <w:left w:val="nil"/>
              <w:right w:val="nil"/>
            </w:tcBorders>
            <w:shd w:val="clear" w:color="auto" w:fill="FFFFFF"/>
            <w:vAlign w:val="center"/>
          </w:tcPr>
          <w:p w14:paraId="4BC66612" w14:textId="77777777" w:rsidR="00B764FC" w:rsidRDefault="00B764FC">
            <w:pPr>
              <w:spacing w:before="60"/>
              <w:jc w:val="right"/>
              <w:rPr>
                <w:sz w:val="20"/>
                <w:szCs w:val="20"/>
              </w:rPr>
            </w:pPr>
            <w:r>
              <w:rPr>
                <w:sz w:val="20"/>
                <w:szCs w:val="20"/>
              </w:rPr>
              <w:t>1,549</w:t>
            </w:r>
          </w:p>
        </w:tc>
      </w:tr>
      <w:tr w:rsidR="00B764FC" w14:paraId="465C6DF4" w14:textId="77777777">
        <w:tc>
          <w:tcPr>
            <w:tcW w:w="3361" w:type="dxa"/>
            <w:tcBorders>
              <w:left w:val="nil"/>
              <w:right w:val="nil"/>
            </w:tcBorders>
          </w:tcPr>
          <w:p w14:paraId="51EABDE8" w14:textId="77777777" w:rsidR="00B764FC" w:rsidRDefault="00B764FC">
            <w:pPr>
              <w:spacing w:before="60"/>
              <w:rPr>
                <w:sz w:val="20"/>
                <w:szCs w:val="20"/>
              </w:rPr>
            </w:pPr>
            <w:r>
              <w:rPr>
                <w:sz w:val="20"/>
                <w:szCs w:val="20"/>
              </w:rPr>
              <w:t>Homeless households</w:t>
            </w:r>
          </w:p>
        </w:tc>
        <w:tc>
          <w:tcPr>
            <w:tcW w:w="1839" w:type="dxa"/>
            <w:tcBorders>
              <w:left w:val="nil"/>
              <w:right w:val="nil"/>
            </w:tcBorders>
            <w:vAlign w:val="center"/>
          </w:tcPr>
          <w:p w14:paraId="35845B5A" w14:textId="77777777" w:rsidR="00B764FC" w:rsidRDefault="00B764FC">
            <w:pPr>
              <w:spacing w:before="60"/>
              <w:jc w:val="right"/>
              <w:rPr>
                <w:sz w:val="20"/>
                <w:szCs w:val="20"/>
              </w:rPr>
            </w:pPr>
            <w:r>
              <w:rPr>
                <w:sz w:val="20"/>
                <w:szCs w:val="20"/>
              </w:rPr>
              <w:t>1,000</w:t>
            </w:r>
          </w:p>
        </w:tc>
        <w:tc>
          <w:tcPr>
            <w:tcW w:w="1839" w:type="dxa"/>
            <w:tcBorders>
              <w:left w:val="nil"/>
              <w:right w:val="nil"/>
            </w:tcBorders>
            <w:vAlign w:val="center"/>
          </w:tcPr>
          <w:p w14:paraId="31B15F04" w14:textId="77777777" w:rsidR="00B764FC" w:rsidRDefault="00B764FC">
            <w:pPr>
              <w:spacing w:before="60"/>
              <w:jc w:val="right"/>
              <w:rPr>
                <w:sz w:val="20"/>
                <w:szCs w:val="20"/>
              </w:rPr>
            </w:pPr>
            <w:r>
              <w:rPr>
                <w:sz w:val="20"/>
                <w:szCs w:val="20"/>
              </w:rPr>
              <w:t>100%</w:t>
            </w:r>
          </w:p>
        </w:tc>
        <w:tc>
          <w:tcPr>
            <w:tcW w:w="2175" w:type="dxa"/>
            <w:tcBorders>
              <w:left w:val="nil"/>
              <w:right w:val="nil"/>
            </w:tcBorders>
            <w:vAlign w:val="center"/>
          </w:tcPr>
          <w:p w14:paraId="7C96F5B0" w14:textId="77777777" w:rsidR="00B764FC" w:rsidRDefault="00B764FC">
            <w:pPr>
              <w:spacing w:before="60"/>
              <w:jc w:val="right"/>
              <w:rPr>
                <w:sz w:val="20"/>
                <w:szCs w:val="20"/>
              </w:rPr>
            </w:pPr>
            <w:r>
              <w:rPr>
                <w:sz w:val="20"/>
                <w:szCs w:val="20"/>
              </w:rPr>
              <w:t>1,000</w:t>
            </w:r>
          </w:p>
        </w:tc>
      </w:tr>
      <w:tr w:rsidR="00B764FC" w14:paraId="6C40B312" w14:textId="77777777">
        <w:trPr>
          <w:trHeight w:val="454"/>
        </w:trPr>
        <w:tc>
          <w:tcPr>
            <w:tcW w:w="3361" w:type="dxa"/>
            <w:tcBorders>
              <w:left w:val="nil"/>
              <w:right w:val="nil"/>
            </w:tcBorders>
            <w:shd w:val="clear" w:color="auto" w:fill="C0C0C0"/>
          </w:tcPr>
          <w:p w14:paraId="62F2FDC9" w14:textId="77777777" w:rsidR="00B764FC" w:rsidRDefault="00B764FC">
            <w:pPr>
              <w:spacing w:before="60"/>
              <w:rPr>
                <w:b/>
                <w:bCs/>
                <w:sz w:val="20"/>
                <w:szCs w:val="20"/>
              </w:rPr>
            </w:pPr>
            <w:r>
              <w:rPr>
                <w:b/>
                <w:bCs/>
                <w:sz w:val="20"/>
                <w:szCs w:val="20"/>
              </w:rPr>
              <w:t>Total</w:t>
            </w:r>
          </w:p>
        </w:tc>
        <w:tc>
          <w:tcPr>
            <w:tcW w:w="1839" w:type="dxa"/>
            <w:tcBorders>
              <w:left w:val="nil"/>
              <w:right w:val="nil"/>
            </w:tcBorders>
            <w:shd w:val="clear" w:color="auto" w:fill="C0C0C0"/>
            <w:vAlign w:val="center"/>
          </w:tcPr>
          <w:p w14:paraId="1EFEE130" w14:textId="77777777" w:rsidR="00B764FC" w:rsidRDefault="00B764FC">
            <w:pPr>
              <w:spacing w:before="60"/>
              <w:jc w:val="right"/>
              <w:rPr>
                <w:b/>
                <w:bCs/>
                <w:sz w:val="20"/>
                <w:szCs w:val="20"/>
              </w:rPr>
            </w:pPr>
          </w:p>
        </w:tc>
        <w:tc>
          <w:tcPr>
            <w:tcW w:w="1839" w:type="dxa"/>
            <w:tcBorders>
              <w:left w:val="nil"/>
              <w:right w:val="nil"/>
            </w:tcBorders>
            <w:shd w:val="clear" w:color="auto" w:fill="C0C0C0"/>
            <w:vAlign w:val="center"/>
          </w:tcPr>
          <w:p w14:paraId="3311A7C2" w14:textId="77777777" w:rsidR="00B764FC" w:rsidRDefault="00B764FC">
            <w:pPr>
              <w:spacing w:before="60"/>
              <w:jc w:val="right"/>
              <w:rPr>
                <w:b/>
                <w:bCs/>
                <w:sz w:val="20"/>
                <w:szCs w:val="20"/>
              </w:rPr>
            </w:pPr>
          </w:p>
        </w:tc>
        <w:tc>
          <w:tcPr>
            <w:tcW w:w="2175" w:type="dxa"/>
            <w:tcBorders>
              <w:left w:val="nil"/>
              <w:right w:val="nil"/>
            </w:tcBorders>
            <w:shd w:val="clear" w:color="auto" w:fill="C0C0C0"/>
            <w:vAlign w:val="center"/>
          </w:tcPr>
          <w:p w14:paraId="475D9598" w14:textId="77777777" w:rsidR="00B764FC" w:rsidRDefault="00B764FC">
            <w:pPr>
              <w:jc w:val="right"/>
              <w:rPr>
                <w:b/>
                <w:bCs/>
                <w:sz w:val="20"/>
                <w:szCs w:val="20"/>
              </w:rPr>
            </w:pPr>
            <w:r>
              <w:rPr>
                <w:b/>
                <w:bCs/>
                <w:sz w:val="20"/>
                <w:szCs w:val="20"/>
              </w:rPr>
              <w:t>10,196</w:t>
            </w:r>
          </w:p>
        </w:tc>
      </w:tr>
    </w:tbl>
    <w:p w14:paraId="0922A4FD" w14:textId="77777777" w:rsidR="00B764FC" w:rsidRDefault="00B764FC">
      <w:pPr>
        <w:pStyle w:val="TF"/>
      </w:pPr>
      <w:r>
        <w:rPr>
          <w:i/>
          <w:iCs/>
        </w:rPr>
        <w:t xml:space="preserve">       Source</w:t>
      </w:r>
      <w:r>
        <w:t>: ABS, forecastid, K2 Planning, based on SGS methodology for the City of Kingston (2019)</w:t>
      </w:r>
    </w:p>
    <w:p w14:paraId="112043AC" w14:textId="77887340" w:rsidR="00B764FC" w:rsidRDefault="00B764FC">
      <w:pPr>
        <w:spacing w:before="240" w:after="240" w:line="276" w:lineRule="auto"/>
        <w:jc w:val="both"/>
        <w:rPr>
          <w:sz w:val="22"/>
          <w:szCs w:val="22"/>
        </w:rPr>
      </w:pPr>
      <w:r>
        <w:rPr>
          <w:sz w:val="22"/>
          <w:szCs w:val="22"/>
        </w:rPr>
        <w:t xml:space="preserve">The total apparent need for social housing is thus 10,200 households, or approximately 11% of households.  This represents a reasonable and conservative point of departure for the purpose of developing the </w:t>
      </w:r>
      <w:r>
        <w:rPr>
          <w:i/>
          <w:iCs/>
          <w:sz w:val="22"/>
          <w:szCs w:val="22"/>
        </w:rPr>
        <w:t>City of Greater Geelong Social Housing Plan 20</w:t>
      </w:r>
      <w:r w:rsidR="003636C3">
        <w:rPr>
          <w:i/>
          <w:iCs/>
          <w:sz w:val="22"/>
          <w:szCs w:val="22"/>
        </w:rPr>
        <w:t>20</w:t>
      </w:r>
      <w:r>
        <w:rPr>
          <w:i/>
          <w:iCs/>
          <w:sz w:val="22"/>
          <w:szCs w:val="22"/>
        </w:rPr>
        <w:t xml:space="preserve"> - 20</w:t>
      </w:r>
      <w:r w:rsidR="003636C3">
        <w:rPr>
          <w:i/>
          <w:iCs/>
          <w:sz w:val="22"/>
          <w:szCs w:val="22"/>
        </w:rPr>
        <w:t>4</w:t>
      </w:r>
      <w:r>
        <w:rPr>
          <w:i/>
          <w:iCs/>
          <w:sz w:val="22"/>
          <w:szCs w:val="22"/>
        </w:rPr>
        <w:t>1</w:t>
      </w:r>
      <w:r>
        <w:rPr>
          <w:sz w:val="22"/>
          <w:szCs w:val="22"/>
        </w:rPr>
        <w:t>.</w:t>
      </w:r>
    </w:p>
    <w:p w14:paraId="1DD0D515" w14:textId="77777777" w:rsidR="00B764FC" w:rsidRDefault="00B764FC">
      <w:pPr>
        <w:spacing w:after="240" w:line="276" w:lineRule="auto"/>
        <w:jc w:val="both"/>
        <w:rPr>
          <w:sz w:val="22"/>
          <w:szCs w:val="22"/>
        </w:rPr>
      </w:pPr>
      <w:r>
        <w:rPr>
          <w:sz w:val="22"/>
          <w:szCs w:val="22"/>
        </w:rPr>
        <w:t>The estimate of demand for social housing may be considered conservative because:</w:t>
      </w:r>
    </w:p>
    <w:p w14:paraId="6F8B57EC" w14:textId="77777777" w:rsidR="00B764FC" w:rsidRDefault="00B764FC">
      <w:pPr>
        <w:pStyle w:val="ListParagraph"/>
        <w:spacing w:line="276" w:lineRule="auto"/>
        <w:ind w:left="567" w:hanging="425"/>
        <w:jc w:val="both"/>
        <w:rPr>
          <w:sz w:val="22"/>
          <w:szCs w:val="22"/>
        </w:rPr>
      </w:pPr>
      <w:r>
        <w:rPr>
          <w:sz w:val="22"/>
          <w:szCs w:val="22"/>
        </w:rPr>
        <w:t>-</w:t>
      </w:r>
      <w:r>
        <w:rPr>
          <w:sz w:val="22"/>
          <w:szCs w:val="22"/>
        </w:rPr>
        <w:tab/>
        <w:t>the estimate uses housing stress data based on Regional Victorian income bands</w:t>
      </w:r>
    </w:p>
    <w:p w14:paraId="4FB8FC02" w14:textId="77777777" w:rsidR="00B764FC" w:rsidRDefault="00B764FC">
      <w:pPr>
        <w:pStyle w:val="ListParagraph"/>
        <w:spacing w:line="276" w:lineRule="auto"/>
        <w:ind w:left="567" w:hanging="425"/>
        <w:jc w:val="both"/>
        <w:rPr>
          <w:sz w:val="22"/>
          <w:szCs w:val="22"/>
        </w:rPr>
      </w:pPr>
      <w:r>
        <w:rPr>
          <w:sz w:val="22"/>
          <w:szCs w:val="22"/>
        </w:rPr>
        <w:t>-</w:t>
      </w:r>
      <w:r>
        <w:rPr>
          <w:sz w:val="22"/>
          <w:szCs w:val="22"/>
        </w:rPr>
        <w:tab/>
        <w:t>the estimate excludes households experiencing mortgage stress</w:t>
      </w:r>
    </w:p>
    <w:p w14:paraId="06A8BB90" w14:textId="77777777" w:rsidR="00B764FC" w:rsidRDefault="00B764FC">
      <w:pPr>
        <w:pStyle w:val="ListParagraph"/>
        <w:spacing w:after="240" w:line="276" w:lineRule="auto"/>
        <w:ind w:left="567" w:hanging="425"/>
        <w:jc w:val="both"/>
        <w:rPr>
          <w:sz w:val="22"/>
          <w:szCs w:val="22"/>
        </w:rPr>
      </w:pPr>
      <w:r>
        <w:rPr>
          <w:sz w:val="22"/>
          <w:szCs w:val="22"/>
        </w:rPr>
        <w:t>-</w:t>
      </w:r>
      <w:r>
        <w:rPr>
          <w:sz w:val="22"/>
          <w:szCs w:val="22"/>
        </w:rPr>
        <w:tab/>
        <w:t>the number of homeless people (Census data) is an underestimate</w:t>
      </w:r>
    </w:p>
    <w:p w14:paraId="123026D5" w14:textId="77777777" w:rsidR="00B764FC" w:rsidRDefault="00B764FC">
      <w:pPr>
        <w:pStyle w:val="ListParagraph"/>
        <w:spacing w:after="240" w:line="276" w:lineRule="auto"/>
        <w:ind w:left="567" w:hanging="425"/>
        <w:jc w:val="both"/>
        <w:rPr>
          <w:sz w:val="22"/>
          <w:szCs w:val="22"/>
        </w:rPr>
      </w:pPr>
    </w:p>
    <w:p w14:paraId="5C4E709A" w14:textId="77777777" w:rsidR="00B764FC" w:rsidRDefault="00B764FC">
      <w:pPr>
        <w:pStyle w:val="ListParagraph"/>
        <w:spacing w:after="240" w:line="276" w:lineRule="auto"/>
        <w:ind w:left="567" w:hanging="425"/>
        <w:jc w:val="both"/>
        <w:rPr>
          <w:sz w:val="22"/>
          <w:szCs w:val="22"/>
        </w:rPr>
      </w:pPr>
    </w:p>
    <w:p w14:paraId="484298C4" w14:textId="77777777" w:rsidR="00B764FC" w:rsidRDefault="00B764FC">
      <w:pPr>
        <w:pStyle w:val="ListParagraph"/>
        <w:spacing w:after="240" w:line="276" w:lineRule="auto"/>
        <w:ind w:left="567" w:hanging="425"/>
        <w:jc w:val="both"/>
        <w:rPr>
          <w:sz w:val="22"/>
          <w:szCs w:val="22"/>
        </w:rPr>
      </w:pPr>
    </w:p>
    <w:p w14:paraId="3DEB625B" w14:textId="77777777" w:rsidR="00B764FC" w:rsidRDefault="00B764FC">
      <w:pPr>
        <w:pStyle w:val="ListParagraph"/>
        <w:spacing w:after="240" w:line="276" w:lineRule="auto"/>
        <w:ind w:left="567" w:hanging="425"/>
        <w:jc w:val="both"/>
        <w:rPr>
          <w:sz w:val="22"/>
          <w:szCs w:val="22"/>
        </w:rPr>
      </w:pPr>
    </w:p>
    <w:p w14:paraId="0A291E05" w14:textId="77777777" w:rsidR="00B764FC" w:rsidRDefault="00B764FC">
      <w:pPr>
        <w:pStyle w:val="ListParagraph"/>
        <w:spacing w:after="240" w:line="276" w:lineRule="auto"/>
        <w:ind w:left="567" w:hanging="425"/>
        <w:jc w:val="both"/>
        <w:rPr>
          <w:sz w:val="22"/>
          <w:szCs w:val="22"/>
        </w:rPr>
      </w:pPr>
    </w:p>
    <w:p w14:paraId="66715AF0" w14:textId="77777777" w:rsidR="00B764FC" w:rsidRDefault="00B764FC">
      <w:pPr>
        <w:pStyle w:val="ListParagraph"/>
        <w:spacing w:after="240" w:line="276" w:lineRule="auto"/>
        <w:ind w:left="567" w:hanging="425"/>
        <w:jc w:val="both"/>
        <w:rPr>
          <w:sz w:val="22"/>
          <w:szCs w:val="22"/>
        </w:rPr>
      </w:pPr>
    </w:p>
    <w:p w14:paraId="013133F9" w14:textId="77777777" w:rsidR="00B764FC" w:rsidRPr="004B2308" w:rsidRDefault="00B764FC">
      <w:pPr>
        <w:pStyle w:val="Heading2"/>
      </w:pPr>
      <w:bookmarkStart w:id="99" w:name="_Toc22120172"/>
      <w:r w:rsidRPr="004B2308">
        <w:lastRenderedPageBreak/>
        <w:t>6.6</w:t>
      </w:r>
      <w:r w:rsidRPr="004B2308">
        <w:tab/>
        <w:t>Which population groups need social housing?</w:t>
      </w:r>
      <w:bookmarkEnd w:id="99"/>
    </w:p>
    <w:p w14:paraId="57A381DE" w14:textId="77777777" w:rsidR="00B764FC" w:rsidRDefault="00B764FC">
      <w:pPr>
        <w:spacing w:after="240" w:line="276" w:lineRule="auto"/>
        <w:jc w:val="both"/>
        <w:rPr>
          <w:sz w:val="22"/>
          <w:szCs w:val="22"/>
        </w:rPr>
      </w:pPr>
      <w:r>
        <w:rPr>
          <w:sz w:val="22"/>
          <w:szCs w:val="22"/>
        </w:rPr>
        <w:t>A high proportion (41%) of households experiencing rental stress are lone person households, and one parent families (30%).  Thus 71% of households experiencing rental stress are led by a single person (presumably reliant upon a single income).</w:t>
      </w:r>
      <w:bookmarkStart w:id="100" w:name="_Toc4230668"/>
      <w:r>
        <w:rPr>
          <w:sz w:val="22"/>
          <w:szCs w:val="22"/>
        </w:rPr>
        <w:t xml:space="preserve"> </w:t>
      </w:r>
    </w:p>
    <w:p w14:paraId="36B9F426" w14:textId="31558AC7" w:rsidR="00B764FC" w:rsidRDefault="00B764FC">
      <w:pPr>
        <w:pStyle w:val="Caption"/>
        <w:spacing w:after="0"/>
        <w:rPr>
          <w:b/>
          <w:bCs/>
        </w:rPr>
      </w:pPr>
      <w:bookmarkStart w:id="101" w:name="_Toc22120048"/>
      <w:bookmarkEnd w:id="100"/>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13</w:t>
      </w:r>
      <w:r w:rsidR="00FF5CA4">
        <w:rPr>
          <w:b/>
          <w:bCs/>
        </w:rPr>
        <w:fldChar w:fldCharType="end"/>
      </w:r>
      <w:r>
        <w:rPr>
          <w:b/>
          <w:bCs/>
        </w:rPr>
        <w:t>: Type of households experiencing rental stress - 2016</w:t>
      </w:r>
      <w:bookmarkEnd w:id="101"/>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966"/>
        <w:gridCol w:w="2996"/>
        <w:gridCol w:w="2252"/>
      </w:tblGrid>
      <w:tr w:rsidR="00B764FC" w14:paraId="778367AF" w14:textId="77777777" w:rsidTr="004B2308">
        <w:trPr>
          <w:trHeight w:val="300"/>
        </w:trPr>
        <w:tc>
          <w:tcPr>
            <w:tcW w:w="3966" w:type="dxa"/>
            <w:tcBorders>
              <w:left w:val="nil"/>
              <w:right w:val="nil"/>
            </w:tcBorders>
            <w:shd w:val="clear" w:color="auto" w:fill="002060"/>
            <w:vAlign w:val="bottom"/>
          </w:tcPr>
          <w:p w14:paraId="16D81439" w14:textId="77777777" w:rsidR="00B764FC" w:rsidRDefault="00B764FC">
            <w:pPr>
              <w:ind w:left="34"/>
              <w:rPr>
                <w:b/>
                <w:bCs/>
                <w:color w:val="FFFFFF"/>
                <w:sz w:val="20"/>
                <w:szCs w:val="20"/>
                <w:lang w:val="en-US"/>
              </w:rPr>
            </w:pPr>
            <w:r>
              <w:rPr>
                <w:b/>
                <w:bCs/>
                <w:color w:val="FFFFFF"/>
                <w:sz w:val="20"/>
                <w:szCs w:val="20"/>
                <w:lang w:val="en-US"/>
              </w:rPr>
              <w:t>Household type</w:t>
            </w:r>
          </w:p>
        </w:tc>
        <w:tc>
          <w:tcPr>
            <w:tcW w:w="2996" w:type="dxa"/>
            <w:tcBorders>
              <w:left w:val="nil"/>
              <w:right w:val="nil"/>
            </w:tcBorders>
            <w:shd w:val="clear" w:color="auto" w:fill="002060"/>
            <w:vAlign w:val="center"/>
          </w:tcPr>
          <w:p w14:paraId="7A8C8DF1" w14:textId="77777777" w:rsidR="00B764FC" w:rsidRDefault="00B764FC">
            <w:pPr>
              <w:ind w:left="34"/>
              <w:jc w:val="center"/>
              <w:rPr>
                <w:b/>
                <w:bCs/>
                <w:color w:val="FFFFFF"/>
                <w:sz w:val="20"/>
                <w:szCs w:val="20"/>
                <w:lang w:val="en-US"/>
              </w:rPr>
            </w:pPr>
            <w:r>
              <w:rPr>
                <w:b/>
                <w:bCs/>
                <w:color w:val="FFFFFF"/>
                <w:sz w:val="20"/>
                <w:szCs w:val="20"/>
                <w:lang w:val="en-US"/>
              </w:rPr>
              <w:t>No.</w:t>
            </w:r>
          </w:p>
        </w:tc>
        <w:tc>
          <w:tcPr>
            <w:tcW w:w="2252" w:type="dxa"/>
            <w:tcBorders>
              <w:left w:val="nil"/>
              <w:right w:val="nil"/>
            </w:tcBorders>
            <w:shd w:val="clear" w:color="auto" w:fill="002060"/>
            <w:vAlign w:val="center"/>
          </w:tcPr>
          <w:p w14:paraId="7D2E6270" w14:textId="77777777" w:rsidR="00B764FC" w:rsidRDefault="00B764FC">
            <w:pPr>
              <w:ind w:left="34"/>
              <w:jc w:val="center"/>
              <w:rPr>
                <w:b/>
                <w:bCs/>
                <w:color w:val="FFFFFF"/>
                <w:sz w:val="20"/>
                <w:szCs w:val="20"/>
                <w:lang w:val="en-US"/>
              </w:rPr>
            </w:pPr>
            <w:r>
              <w:rPr>
                <w:b/>
                <w:bCs/>
                <w:color w:val="FFFFFF"/>
                <w:sz w:val="20"/>
                <w:szCs w:val="20"/>
                <w:lang w:val="en-US"/>
              </w:rPr>
              <w:t>%</w:t>
            </w:r>
          </w:p>
        </w:tc>
      </w:tr>
      <w:tr w:rsidR="00B764FC" w14:paraId="57AA58B2" w14:textId="77777777">
        <w:trPr>
          <w:trHeight w:val="300"/>
        </w:trPr>
        <w:tc>
          <w:tcPr>
            <w:tcW w:w="3966" w:type="dxa"/>
            <w:tcBorders>
              <w:left w:val="nil"/>
              <w:right w:val="nil"/>
            </w:tcBorders>
            <w:vAlign w:val="center"/>
          </w:tcPr>
          <w:p w14:paraId="072D8E4D" w14:textId="77777777" w:rsidR="00B764FC" w:rsidRDefault="00B764FC">
            <w:pPr>
              <w:ind w:left="34"/>
              <w:rPr>
                <w:color w:val="000000"/>
                <w:sz w:val="20"/>
                <w:szCs w:val="20"/>
                <w:lang w:val="en-US"/>
              </w:rPr>
            </w:pPr>
            <w:r>
              <w:rPr>
                <w:color w:val="000000"/>
                <w:sz w:val="20"/>
                <w:szCs w:val="20"/>
                <w:lang w:val="en-US"/>
              </w:rPr>
              <w:t>Lone person</w:t>
            </w:r>
          </w:p>
        </w:tc>
        <w:tc>
          <w:tcPr>
            <w:tcW w:w="2996" w:type="dxa"/>
            <w:tcBorders>
              <w:left w:val="nil"/>
              <w:right w:val="nil"/>
            </w:tcBorders>
            <w:vAlign w:val="center"/>
          </w:tcPr>
          <w:p w14:paraId="79B8DED6" w14:textId="77777777" w:rsidR="00B764FC" w:rsidRDefault="00B764FC">
            <w:pPr>
              <w:ind w:left="34"/>
              <w:jc w:val="center"/>
              <w:rPr>
                <w:color w:val="000000"/>
                <w:sz w:val="20"/>
                <w:szCs w:val="20"/>
                <w:lang w:val="en-US"/>
              </w:rPr>
            </w:pPr>
            <w:r>
              <w:rPr>
                <w:color w:val="000000"/>
                <w:sz w:val="20"/>
                <w:szCs w:val="20"/>
                <w:lang w:val="en-US"/>
              </w:rPr>
              <w:t>2,793</w:t>
            </w:r>
          </w:p>
        </w:tc>
        <w:tc>
          <w:tcPr>
            <w:tcW w:w="2252" w:type="dxa"/>
            <w:tcBorders>
              <w:left w:val="nil"/>
              <w:right w:val="nil"/>
            </w:tcBorders>
            <w:vAlign w:val="center"/>
          </w:tcPr>
          <w:p w14:paraId="4449A0CB" w14:textId="77777777" w:rsidR="00B764FC" w:rsidRDefault="00B764FC">
            <w:pPr>
              <w:ind w:left="34"/>
              <w:jc w:val="center"/>
              <w:rPr>
                <w:color w:val="000000"/>
                <w:sz w:val="20"/>
                <w:szCs w:val="20"/>
                <w:lang w:val="en-US"/>
              </w:rPr>
            </w:pPr>
            <w:r>
              <w:rPr>
                <w:color w:val="000000"/>
                <w:sz w:val="20"/>
                <w:szCs w:val="20"/>
                <w:lang w:val="en-US"/>
              </w:rPr>
              <w:t>41%</w:t>
            </w:r>
          </w:p>
        </w:tc>
      </w:tr>
      <w:tr w:rsidR="00B764FC" w14:paraId="5AFFE4B1" w14:textId="77777777">
        <w:trPr>
          <w:trHeight w:val="300"/>
        </w:trPr>
        <w:tc>
          <w:tcPr>
            <w:tcW w:w="3966" w:type="dxa"/>
            <w:tcBorders>
              <w:left w:val="nil"/>
              <w:right w:val="nil"/>
            </w:tcBorders>
            <w:shd w:val="clear" w:color="auto" w:fill="FFFFFF"/>
            <w:vAlign w:val="center"/>
          </w:tcPr>
          <w:p w14:paraId="3D199369" w14:textId="77777777" w:rsidR="00B764FC" w:rsidRDefault="00B764FC">
            <w:pPr>
              <w:ind w:left="34"/>
              <w:rPr>
                <w:color w:val="000000"/>
                <w:sz w:val="20"/>
                <w:szCs w:val="20"/>
                <w:lang w:val="en-US"/>
              </w:rPr>
            </w:pPr>
            <w:r>
              <w:rPr>
                <w:color w:val="000000"/>
                <w:sz w:val="20"/>
                <w:szCs w:val="20"/>
                <w:lang w:val="en-US"/>
              </w:rPr>
              <w:t>Single parent family</w:t>
            </w:r>
          </w:p>
        </w:tc>
        <w:tc>
          <w:tcPr>
            <w:tcW w:w="2996" w:type="dxa"/>
            <w:tcBorders>
              <w:left w:val="nil"/>
              <w:right w:val="nil"/>
            </w:tcBorders>
            <w:shd w:val="clear" w:color="auto" w:fill="FFFFFF"/>
            <w:vAlign w:val="center"/>
          </w:tcPr>
          <w:p w14:paraId="1938E875" w14:textId="77777777" w:rsidR="00B764FC" w:rsidRDefault="00B764FC">
            <w:pPr>
              <w:ind w:left="34"/>
              <w:jc w:val="center"/>
              <w:rPr>
                <w:color w:val="000000"/>
                <w:sz w:val="20"/>
                <w:szCs w:val="20"/>
                <w:lang w:val="en-US"/>
              </w:rPr>
            </w:pPr>
            <w:r>
              <w:rPr>
                <w:color w:val="000000"/>
                <w:sz w:val="20"/>
                <w:szCs w:val="20"/>
                <w:lang w:val="en-US"/>
              </w:rPr>
              <w:t>2,023</w:t>
            </w:r>
          </w:p>
        </w:tc>
        <w:tc>
          <w:tcPr>
            <w:tcW w:w="2252" w:type="dxa"/>
            <w:tcBorders>
              <w:left w:val="nil"/>
              <w:right w:val="nil"/>
            </w:tcBorders>
            <w:shd w:val="clear" w:color="auto" w:fill="FFFFFF"/>
            <w:vAlign w:val="center"/>
          </w:tcPr>
          <w:p w14:paraId="373A84A8" w14:textId="77777777" w:rsidR="00B764FC" w:rsidRDefault="00B764FC">
            <w:pPr>
              <w:ind w:left="34"/>
              <w:jc w:val="center"/>
              <w:rPr>
                <w:color w:val="000000"/>
                <w:sz w:val="20"/>
                <w:szCs w:val="20"/>
                <w:lang w:val="en-US"/>
              </w:rPr>
            </w:pPr>
            <w:r>
              <w:rPr>
                <w:color w:val="000000"/>
                <w:sz w:val="20"/>
                <w:szCs w:val="20"/>
                <w:lang w:val="en-US"/>
              </w:rPr>
              <w:t>30%</w:t>
            </w:r>
          </w:p>
        </w:tc>
      </w:tr>
      <w:tr w:rsidR="00B764FC" w14:paraId="72A6D288" w14:textId="77777777">
        <w:trPr>
          <w:trHeight w:val="300"/>
        </w:trPr>
        <w:tc>
          <w:tcPr>
            <w:tcW w:w="3966" w:type="dxa"/>
            <w:tcBorders>
              <w:left w:val="nil"/>
              <w:right w:val="nil"/>
            </w:tcBorders>
            <w:vAlign w:val="center"/>
          </w:tcPr>
          <w:p w14:paraId="25F534F7" w14:textId="77777777" w:rsidR="00B764FC" w:rsidRDefault="00B764FC">
            <w:pPr>
              <w:ind w:left="34"/>
              <w:rPr>
                <w:color w:val="000000"/>
                <w:sz w:val="20"/>
                <w:szCs w:val="20"/>
                <w:lang w:val="en-US"/>
              </w:rPr>
            </w:pPr>
            <w:r>
              <w:rPr>
                <w:color w:val="000000"/>
                <w:sz w:val="20"/>
                <w:szCs w:val="20"/>
                <w:lang w:val="en-US"/>
              </w:rPr>
              <w:t>Couple with children</w:t>
            </w:r>
          </w:p>
        </w:tc>
        <w:tc>
          <w:tcPr>
            <w:tcW w:w="2996" w:type="dxa"/>
            <w:tcBorders>
              <w:left w:val="nil"/>
              <w:right w:val="nil"/>
            </w:tcBorders>
            <w:vAlign w:val="center"/>
          </w:tcPr>
          <w:p w14:paraId="4AFDB954" w14:textId="77777777" w:rsidR="00B764FC" w:rsidRDefault="00B764FC">
            <w:pPr>
              <w:ind w:left="34"/>
              <w:jc w:val="center"/>
              <w:rPr>
                <w:color w:val="000000"/>
                <w:sz w:val="20"/>
                <w:szCs w:val="20"/>
                <w:lang w:val="en-US"/>
              </w:rPr>
            </w:pPr>
            <w:r>
              <w:rPr>
                <w:color w:val="000000"/>
                <w:sz w:val="20"/>
                <w:szCs w:val="20"/>
                <w:lang w:val="en-US"/>
              </w:rPr>
              <w:t>794</w:t>
            </w:r>
          </w:p>
        </w:tc>
        <w:tc>
          <w:tcPr>
            <w:tcW w:w="2252" w:type="dxa"/>
            <w:tcBorders>
              <w:left w:val="nil"/>
              <w:right w:val="nil"/>
            </w:tcBorders>
            <w:vAlign w:val="center"/>
          </w:tcPr>
          <w:p w14:paraId="02BB9DF1" w14:textId="77777777" w:rsidR="00B764FC" w:rsidRDefault="00B764FC">
            <w:pPr>
              <w:ind w:left="34"/>
              <w:jc w:val="center"/>
              <w:rPr>
                <w:color w:val="000000"/>
                <w:sz w:val="20"/>
                <w:szCs w:val="20"/>
                <w:lang w:val="en-US"/>
              </w:rPr>
            </w:pPr>
            <w:r>
              <w:rPr>
                <w:color w:val="000000"/>
                <w:sz w:val="20"/>
                <w:szCs w:val="20"/>
                <w:lang w:val="en-US"/>
              </w:rPr>
              <w:t>12%</w:t>
            </w:r>
          </w:p>
        </w:tc>
      </w:tr>
      <w:tr w:rsidR="00B764FC" w14:paraId="5E8864D6" w14:textId="77777777">
        <w:trPr>
          <w:trHeight w:val="300"/>
        </w:trPr>
        <w:tc>
          <w:tcPr>
            <w:tcW w:w="3966" w:type="dxa"/>
            <w:tcBorders>
              <w:left w:val="nil"/>
              <w:right w:val="nil"/>
            </w:tcBorders>
            <w:shd w:val="clear" w:color="auto" w:fill="FFFFFF"/>
            <w:vAlign w:val="center"/>
          </w:tcPr>
          <w:p w14:paraId="04E79D27" w14:textId="77777777" w:rsidR="00B764FC" w:rsidRDefault="00B764FC">
            <w:pPr>
              <w:ind w:left="34"/>
              <w:rPr>
                <w:color w:val="000000"/>
                <w:sz w:val="20"/>
                <w:szCs w:val="20"/>
                <w:lang w:val="en-US"/>
              </w:rPr>
            </w:pPr>
            <w:r>
              <w:rPr>
                <w:color w:val="000000"/>
                <w:sz w:val="20"/>
                <w:szCs w:val="20"/>
                <w:lang w:val="en-US"/>
              </w:rPr>
              <w:t>Couple without children</w:t>
            </w:r>
          </w:p>
        </w:tc>
        <w:tc>
          <w:tcPr>
            <w:tcW w:w="2996" w:type="dxa"/>
            <w:tcBorders>
              <w:left w:val="nil"/>
              <w:right w:val="nil"/>
            </w:tcBorders>
            <w:shd w:val="clear" w:color="auto" w:fill="FFFFFF"/>
            <w:vAlign w:val="center"/>
          </w:tcPr>
          <w:p w14:paraId="4484A162" w14:textId="77777777" w:rsidR="00B764FC" w:rsidRDefault="00B764FC">
            <w:pPr>
              <w:ind w:left="34"/>
              <w:jc w:val="center"/>
              <w:rPr>
                <w:color w:val="000000"/>
                <w:sz w:val="20"/>
                <w:szCs w:val="20"/>
                <w:lang w:val="en-US"/>
              </w:rPr>
            </w:pPr>
            <w:r>
              <w:rPr>
                <w:color w:val="000000"/>
                <w:sz w:val="20"/>
                <w:szCs w:val="20"/>
                <w:lang w:val="en-US"/>
              </w:rPr>
              <w:t>707</w:t>
            </w:r>
          </w:p>
        </w:tc>
        <w:tc>
          <w:tcPr>
            <w:tcW w:w="2252" w:type="dxa"/>
            <w:tcBorders>
              <w:left w:val="nil"/>
              <w:right w:val="nil"/>
            </w:tcBorders>
            <w:shd w:val="clear" w:color="auto" w:fill="FFFFFF"/>
            <w:vAlign w:val="center"/>
          </w:tcPr>
          <w:p w14:paraId="2F2FF9A1" w14:textId="77777777" w:rsidR="00B764FC" w:rsidRDefault="00B764FC">
            <w:pPr>
              <w:ind w:left="34"/>
              <w:jc w:val="center"/>
              <w:rPr>
                <w:color w:val="000000"/>
                <w:sz w:val="20"/>
                <w:szCs w:val="20"/>
                <w:lang w:val="en-US"/>
              </w:rPr>
            </w:pPr>
            <w:r>
              <w:rPr>
                <w:color w:val="000000"/>
                <w:sz w:val="20"/>
                <w:szCs w:val="20"/>
                <w:lang w:val="en-US"/>
              </w:rPr>
              <w:t>10%</w:t>
            </w:r>
          </w:p>
        </w:tc>
      </w:tr>
      <w:tr w:rsidR="00B764FC" w14:paraId="070C369F" w14:textId="77777777">
        <w:trPr>
          <w:trHeight w:val="300"/>
        </w:trPr>
        <w:tc>
          <w:tcPr>
            <w:tcW w:w="3966" w:type="dxa"/>
            <w:tcBorders>
              <w:left w:val="nil"/>
              <w:right w:val="nil"/>
            </w:tcBorders>
            <w:vAlign w:val="center"/>
          </w:tcPr>
          <w:p w14:paraId="31914D4B" w14:textId="77777777" w:rsidR="00B764FC" w:rsidRDefault="00B764FC">
            <w:pPr>
              <w:ind w:left="34"/>
              <w:rPr>
                <w:color w:val="000000"/>
                <w:sz w:val="20"/>
                <w:szCs w:val="20"/>
                <w:lang w:val="en-US"/>
              </w:rPr>
            </w:pPr>
            <w:r>
              <w:rPr>
                <w:color w:val="000000"/>
                <w:sz w:val="20"/>
                <w:szCs w:val="20"/>
                <w:lang w:val="en-US"/>
              </w:rPr>
              <w:t>Group household</w:t>
            </w:r>
          </w:p>
        </w:tc>
        <w:tc>
          <w:tcPr>
            <w:tcW w:w="2996" w:type="dxa"/>
            <w:tcBorders>
              <w:left w:val="nil"/>
              <w:right w:val="nil"/>
            </w:tcBorders>
            <w:vAlign w:val="center"/>
          </w:tcPr>
          <w:p w14:paraId="2E4F1123" w14:textId="77777777" w:rsidR="00B764FC" w:rsidRDefault="00B764FC">
            <w:pPr>
              <w:ind w:left="34"/>
              <w:jc w:val="center"/>
              <w:rPr>
                <w:color w:val="000000"/>
                <w:sz w:val="20"/>
                <w:szCs w:val="20"/>
                <w:lang w:val="en-US"/>
              </w:rPr>
            </w:pPr>
            <w:r>
              <w:rPr>
                <w:color w:val="000000"/>
                <w:sz w:val="20"/>
                <w:szCs w:val="20"/>
                <w:lang w:val="en-US"/>
              </w:rPr>
              <w:t>371</w:t>
            </w:r>
          </w:p>
        </w:tc>
        <w:tc>
          <w:tcPr>
            <w:tcW w:w="2252" w:type="dxa"/>
            <w:tcBorders>
              <w:left w:val="nil"/>
              <w:right w:val="nil"/>
            </w:tcBorders>
            <w:vAlign w:val="center"/>
          </w:tcPr>
          <w:p w14:paraId="2A512BDB" w14:textId="77777777" w:rsidR="00B764FC" w:rsidRDefault="00B764FC">
            <w:pPr>
              <w:ind w:left="34"/>
              <w:jc w:val="center"/>
              <w:rPr>
                <w:color w:val="000000"/>
                <w:sz w:val="20"/>
                <w:szCs w:val="20"/>
                <w:lang w:val="en-US"/>
              </w:rPr>
            </w:pPr>
            <w:r>
              <w:rPr>
                <w:color w:val="000000"/>
                <w:sz w:val="20"/>
                <w:szCs w:val="20"/>
                <w:lang w:val="en-US"/>
              </w:rPr>
              <w:t>5%</w:t>
            </w:r>
          </w:p>
        </w:tc>
      </w:tr>
      <w:tr w:rsidR="00B764FC" w14:paraId="0D30DC6E" w14:textId="77777777">
        <w:trPr>
          <w:trHeight w:val="300"/>
        </w:trPr>
        <w:tc>
          <w:tcPr>
            <w:tcW w:w="3966" w:type="dxa"/>
            <w:tcBorders>
              <w:left w:val="nil"/>
              <w:right w:val="nil"/>
            </w:tcBorders>
            <w:shd w:val="clear" w:color="auto" w:fill="FFFFFF"/>
            <w:vAlign w:val="center"/>
          </w:tcPr>
          <w:p w14:paraId="7A981EDE" w14:textId="77777777" w:rsidR="00B764FC" w:rsidRDefault="00B764FC">
            <w:pPr>
              <w:ind w:left="34"/>
              <w:rPr>
                <w:color w:val="000000"/>
                <w:sz w:val="20"/>
                <w:szCs w:val="20"/>
                <w:lang w:val="en-US"/>
              </w:rPr>
            </w:pPr>
            <w:r>
              <w:rPr>
                <w:color w:val="000000"/>
                <w:sz w:val="20"/>
                <w:szCs w:val="20"/>
                <w:lang w:val="en-US"/>
              </w:rPr>
              <w:t>Other household</w:t>
            </w:r>
          </w:p>
        </w:tc>
        <w:tc>
          <w:tcPr>
            <w:tcW w:w="2996" w:type="dxa"/>
            <w:tcBorders>
              <w:left w:val="nil"/>
              <w:right w:val="nil"/>
            </w:tcBorders>
            <w:shd w:val="clear" w:color="auto" w:fill="FFFFFF"/>
            <w:vAlign w:val="center"/>
          </w:tcPr>
          <w:p w14:paraId="38E511D3" w14:textId="77777777" w:rsidR="00B764FC" w:rsidRDefault="00B764FC">
            <w:pPr>
              <w:ind w:left="34"/>
              <w:jc w:val="center"/>
              <w:rPr>
                <w:color w:val="000000"/>
                <w:sz w:val="20"/>
                <w:szCs w:val="20"/>
                <w:lang w:val="en-US"/>
              </w:rPr>
            </w:pPr>
            <w:r>
              <w:rPr>
                <w:color w:val="000000"/>
                <w:sz w:val="20"/>
                <w:szCs w:val="20"/>
                <w:lang w:val="en-US"/>
              </w:rPr>
              <w:t>123</w:t>
            </w:r>
          </w:p>
        </w:tc>
        <w:tc>
          <w:tcPr>
            <w:tcW w:w="2252" w:type="dxa"/>
            <w:tcBorders>
              <w:left w:val="nil"/>
              <w:right w:val="nil"/>
            </w:tcBorders>
            <w:shd w:val="clear" w:color="auto" w:fill="FFFFFF"/>
            <w:vAlign w:val="center"/>
          </w:tcPr>
          <w:p w14:paraId="46E9AA23" w14:textId="77777777" w:rsidR="00B764FC" w:rsidRDefault="00B764FC">
            <w:pPr>
              <w:ind w:left="34"/>
              <w:jc w:val="center"/>
              <w:rPr>
                <w:color w:val="000000"/>
                <w:sz w:val="20"/>
                <w:szCs w:val="20"/>
                <w:lang w:val="en-US"/>
              </w:rPr>
            </w:pPr>
            <w:r>
              <w:rPr>
                <w:color w:val="000000"/>
                <w:sz w:val="20"/>
                <w:szCs w:val="20"/>
                <w:lang w:val="en-US"/>
              </w:rPr>
              <w:t>2%</w:t>
            </w:r>
          </w:p>
        </w:tc>
      </w:tr>
      <w:tr w:rsidR="00B764FC" w14:paraId="1B9AE6DB" w14:textId="77777777">
        <w:trPr>
          <w:trHeight w:val="300"/>
        </w:trPr>
        <w:tc>
          <w:tcPr>
            <w:tcW w:w="3966" w:type="dxa"/>
            <w:tcBorders>
              <w:left w:val="nil"/>
              <w:right w:val="nil"/>
            </w:tcBorders>
            <w:shd w:val="clear" w:color="auto" w:fill="C0C0C0"/>
            <w:vAlign w:val="bottom"/>
          </w:tcPr>
          <w:p w14:paraId="26852807" w14:textId="77777777" w:rsidR="00B764FC" w:rsidRDefault="00B764FC">
            <w:pPr>
              <w:ind w:left="34"/>
              <w:rPr>
                <w:b/>
                <w:bCs/>
                <w:i/>
                <w:iCs/>
                <w:color w:val="000000"/>
                <w:sz w:val="20"/>
                <w:szCs w:val="20"/>
                <w:lang w:val="en-US"/>
              </w:rPr>
            </w:pPr>
            <w:r>
              <w:rPr>
                <w:b/>
                <w:bCs/>
                <w:i/>
                <w:iCs/>
                <w:color w:val="000000"/>
                <w:sz w:val="20"/>
                <w:szCs w:val="20"/>
                <w:lang w:val="en-US"/>
              </w:rPr>
              <w:t>Total</w:t>
            </w:r>
          </w:p>
        </w:tc>
        <w:tc>
          <w:tcPr>
            <w:tcW w:w="2996" w:type="dxa"/>
            <w:tcBorders>
              <w:left w:val="nil"/>
              <w:right w:val="nil"/>
            </w:tcBorders>
            <w:shd w:val="clear" w:color="auto" w:fill="C0C0C0"/>
            <w:vAlign w:val="center"/>
          </w:tcPr>
          <w:p w14:paraId="5D5D53A2" w14:textId="77777777" w:rsidR="00B764FC" w:rsidRDefault="00B764FC">
            <w:pPr>
              <w:ind w:left="34"/>
              <w:jc w:val="center"/>
              <w:rPr>
                <w:b/>
                <w:bCs/>
                <w:i/>
                <w:iCs/>
                <w:color w:val="000000"/>
                <w:sz w:val="20"/>
                <w:szCs w:val="20"/>
                <w:lang w:val="en-US"/>
              </w:rPr>
            </w:pPr>
            <w:r>
              <w:rPr>
                <w:b/>
                <w:bCs/>
                <w:i/>
                <w:iCs/>
                <w:color w:val="000000"/>
                <w:sz w:val="20"/>
                <w:szCs w:val="20"/>
                <w:lang w:val="en-US"/>
              </w:rPr>
              <w:t>6,811</w:t>
            </w:r>
          </w:p>
        </w:tc>
        <w:tc>
          <w:tcPr>
            <w:tcW w:w="2252" w:type="dxa"/>
            <w:tcBorders>
              <w:left w:val="nil"/>
              <w:right w:val="nil"/>
            </w:tcBorders>
            <w:shd w:val="clear" w:color="auto" w:fill="C0C0C0"/>
            <w:vAlign w:val="center"/>
          </w:tcPr>
          <w:p w14:paraId="605E4571" w14:textId="77777777" w:rsidR="00B764FC" w:rsidRDefault="00B764FC">
            <w:pPr>
              <w:ind w:left="34"/>
              <w:jc w:val="center"/>
              <w:rPr>
                <w:b/>
                <w:bCs/>
                <w:i/>
                <w:iCs/>
                <w:color w:val="000000"/>
                <w:sz w:val="20"/>
                <w:szCs w:val="20"/>
                <w:lang w:val="en-US"/>
              </w:rPr>
            </w:pPr>
            <w:r>
              <w:rPr>
                <w:b/>
                <w:bCs/>
                <w:i/>
                <w:iCs/>
                <w:color w:val="000000"/>
                <w:sz w:val="20"/>
                <w:szCs w:val="20"/>
                <w:lang w:val="en-US"/>
              </w:rPr>
              <w:t>100%</w:t>
            </w:r>
          </w:p>
        </w:tc>
      </w:tr>
    </w:tbl>
    <w:p w14:paraId="20971B21" w14:textId="77777777" w:rsidR="00B764FC" w:rsidRDefault="00B764FC">
      <w:pPr>
        <w:rPr>
          <w:sz w:val="20"/>
          <w:szCs w:val="20"/>
        </w:rPr>
      </w:pPr>
      <w:r>
        <w:rPr>
          <w:i/>
          <w:iCs/>
          <w:sz w:val="20"/>
          <w:szCs w:val="20"/>
        </w:rPr>
        <w:t>Source</w:t>
      </w:r>
      <w:r>
        <w:rPr>
          <w:sz w:val="20"/>
          <w:szCs w:val="20"/>
        </w:rPr>
        <w:t>:</w:t>
      </w:r>
      <w:r>
        <w:rPr>
          <w:sz w:val="20"/>
          <w:szCs w:val="20"/>
        </w:rPr>
        <w:tab/>
        <w:t>ABS 2016</w:t>
      </w:r>
    </w:p>
    <w:p w14:paraId="5FF883F9" w14:textId="77777777" w:rsidR="00B764FC" w:rsidRDefault="00B764FC">
      <w:pPr>
        <w:spacing w:before="240" w:line="276" w:lineRule="auto"/>
        <w:rPr>
          <w:sz w:val="22"/>
          <w:szCs w:val="22"/>
        </w:rPr>
      </w:pPr>
      <w:r>
        <w:rPr>
          <w:sz w:val="22"/>
          <w:szCs w:val="22"/>
        </w:rPr>
        <w:t xml:space="preserve">There are several groups which may experience housing stress due to life stage, age, health, disability, cultural background, immigrant status and family situation.  </w:t>
      </w:r>
    </w:p>
    <w:p w14:paraId="5BEBD021" w14:textId="7E24200D" w:rsidR="00B764FC" w:rsidRDefault="00B764FC">
      <w:pPr>
        <w:spacing w:line="276" w:lineRule="auto"/>
        <w:rPr>
          <w:b/>
          <w:bCs/>
          <w:color w:val="808080"/>
          <w:sz w:val="20"/>
          <w:szCs w:val="20"/>
        </w:rPr>
      </w:pPr>
      <w:bookmarkStart w:id="102" w:name="_Toc22120049"/>
      <w:r>
        <w:rPr>
          <w:b/>
          <w:bCs/>
          <w:color w:val="808080"/>
          <w:sz w:val="20"/>
          <w:szCs w:val="20"/>
        </w:rPr>
        <w:t xml:space="preserve">Table </w:t>
      </w:r>
      <w:r w:rsidR="00FF5CA4">
        <w:rPr>
          <w:b/>
          <w:bCs/>
          <w:color w:val="808080"/>
          <w:sz w:val="20"/>
          <w:szCs w:val="20"/>
        </w:rPr>
        <w:fldChar w:fldCharType="begin"/>
      </w:r>
      <w:r>
        <w:rPr>
          <w:b/>
          <w:bCs/>
          <w:color w:val="808080"/>
          <w:sz w:val="20"/>
          <w:szCs w:val="20"/>
        </w:rPr>
        <w:instrText xml:space="preserve"> SEQ Table \* ARABIC </w:instrText>
      </w:r>
      <w:r w:rsidR="00FF5CA4">
        <w:rPr>
          <w:b/>
          <w:bCs/>
          <w:color w:val="808080"/>
          <w:sz w:val="20"/>
          <w:szCs w:val="20"/>
        </w:rPr>
        <w:fldChar w:fldCharType="separate"/>
      </w:r>
      <w:r w:rsidR="00BB479E">
        <w:rPr>
          <w:b/>
          <w:bCs/>
          <w:noProof/>
          <w:color w:val="808080"/>
          <w:sz w:val="20"/>
          <w:szCs w:val="20"/>
        </w:rPr>
        <w:t>14</w:t>
      </w:r>
      <w:r w:rsidR="00FF5CA4">
        <w:rPr>
          <w:b/>
          <w:bCs/>
          <w:color w:val="808080"/>
          <w:sz w:val="20"/>
          <w:szCs w:val="20"/>
        </w:rPr>
        <w:fldChar w:fldCharType="end"/>
      </w:r>
      <w:r>
        <w:rPr>
          <w:b/>
          <w:bCs/>
          <w:color w:val="808080"/>
          <w:sz w:val="20"/>
          <w:szCs w:val="20"/>
        </w:rPr>
        <w:t>: Groups experiencing rental stress - 2016</w:t>
      </w:r>
      <w:bookmarkEnd w:id="102"/>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552"/>
        <w:gridCol w:w="6662"/>
      </w:tblGrid>
      <w:tr w:rsidR="00B764FC" w14:paraId="3F756A3C" w14:textId="77777777" w:rsidTr="008E1523">
        <w:tc>
          <w:tcPr>
            <w:tcW w:w="2552" w:type="dxa"/>
            <w:tcBorders>
              <w:left w:val="nil"/>
              <w:right w:val="nil"/>
            </w:tcBorders>
            <w:shd w:val="clear" w:color="auto" w:fill="002060"/>
          </w:tcPr>
          <w:p w14:paraId="009C78AE" w14:textId="77777777" w:rsidR="00B764FC" w:rsidRDefault="00B764FC">
            <w:pPr>
              <w:spacing w:line="276" w:lineRule="auto"/>
              <w:rPr>
                <w:b/>
                <w:bCs/>
                <w:color w:val="FFFFFF"/>
                <w:sz w:val="18"/>
                <w:szCs w:val="18"/>
              </w:rPr>
            </w:pPr>
            <w:r>
              <w:rPr>
                <w:b/>
                <w:bCs/>
                <w:color w:val="FFFFFF"/>
                <w:sz w:val="18"/>
                <w:szCs w:val="18"/>
              </w:rPr>
              <w:t>Group within the population</w:t>
            </w:r>
          </w:p>
        </w:tc>
        <w:tc>
          <w:tcPr>
            <w:tcW w:w="6662" w:type="dxa"/>
            <w:tcBorders>
              <w:left w:val="nil"/>
              <w:right w:val="nil"/>
            </w:tcBorders>
            <w:shd w:val="clear" w:color="auto" w:fill="002060"/>
          </w:tcPr>
          <w:p w14:paraId="0DCE53E7" w14:textId="77777777" w:rsidR="00B764FC" w:rsidRDefault="00B764FC">
            <w:pPr>
              <w:spacing w:line="276" w:lineRule="auto"/>
              <w:rPr>
                <w:b/>
                <w:bCs/>
                <w:color w:val="FFFFFF"/>
                <w:sz w:val="18"/>
                <w:szCs w:val="18"/>
              </w:rPr>
            </w:pPr>
            <w:r>
              <w:rPr>
                <w:b/>
                <w:bCs/>
                <w:color w:val="FFFFFF"/>
                <w:sz w:val="18"/>
                <w:szCs w:val="18"/>
              </w:rPr>
              <w:t>Key housing issues</w:t>
            </w:r>
          </w:p>
        </w:tc>
      </w:tr>
      <w:tr w:rsidR="00B764FC" w14:paraId="00A93568" w14:textId="77777777">
        <w:tc>
          <w:tcPr>
            <w:tcW w:w="2552" w:type="dxa"/>
            <w:tcBorders>
              <w:left w:val="nil"/>
              <w:right w:val="nil"/>
            </w:tcBorders>
            <w:vAlign w:val="center"/>
          </w:tcPr>
          <w:p w14:paraId="1679504F" w14:textId="77777777" w:rsidR="00B764FC" w:rsidRDefault="00B764FC">
            <w:pPr>
              <w:spacing w:line="276" w:lineRule="auto"/>
              <w:rPr>
                <w:b/>
                <w:bCs/>
                <w:sz w:val="18"/>
                <w:szCs w:val="18"/>
              </w:rPr>
            </w:pPr>
            <w:r>
              <w:rPr>
                <w:b/>
                <w:bCs/>
                <w:sz w:val="18"/>
                <w:szCs w:val="18"/>
              </w:rPr>
              <w:t>Lone person households (11% of households in Geelong)</w:t>
            </w:r>
          </w:p>
        </w:tc>
        <w:tc>
          <w:tcPr>
            <w:tcW w:w="6662" w:type="dxa"/>
            <w:tcBorders>
              <w:left w:val="nil"/>
              <w:right w:val="nil"/>
            </w:tcBorders>
          </w:tcPr>
          <w:p w14:paraId="470AB406" w14:textId="77777777" w:rsidR="00B764FC" w:rsidRDefault="00B764FC">
            <w:pPr>
              <w:spacing w:line="276" w:lineRule="auto"/>
              <w:rPr>
                <w:sz w:val="18"/>
                <w:szCs w:val="18"/>
              </w:rPr>
            </w:pPr>
            <w:r>
              <w:rPr>
                <w:sz w:val="18"/>
                <w:szCs w:val="18"/>
              </w:rPr>
              <w:t>Lone person households are the largest group of households experiencing rental stress (41%), and represent 28% of all households experiencing mortgage stress.  This is a reflection both of relatively low incomes compared to other households, and the very difficult rental market</w:t>
            </w:r>
          </w:p>
        </w:tc>
      </w:tr>
      <w:tr w:rsidR="00B764FC" w14:paraId="66E6925A" w14:textId="77777777">
        <w:tc>
          <w:tcPr>
            <w:tcW w:w="2552" w:type="dxa"/>
            <w:tcBorders>
              <w:left w:val="nil"/>
              <w:right w:val="nil"/>
            </w:tcBorders>
            <w:shd w:val="clear" w:color="auto" w:fill="FFFFFF"/>
            <w:vAlign w:val="center"/>
          </w:tcPr>
          <w:p w14:paraId="7672877B" w14:textId="77777777" w:rsidR="00B764FC" w:rsidRDefault="00B764FC">
            <w:pPr>
              <w:spacing w:line="276" w:lineRule="auto"/>
              <w:rPr>
                <w:b/>
                <w:bCs/>
                <w:sz w:val="18"/>
                <w:szCs w:val="18"/>
              </w:rPr>
            </w:pPr>
            <w:r>
              <w:rPr>
                <w:b/>
                <w:bCs/>
                <w:sz w:val="18"/>
                <w:szCs w:val="18"/>
              </w:rPr>
              <w:t>Single parent households (11% of households in Geelong)</w:t>
            </w:r>
          </w:p>
        </w:tc>
        <w:tc>
          <w:tcPr>
            <w:tcW w:w="6662" w:type="dxa"/>
            <w:tcBorders>
              <w:left w:val="nil"/>
              <w:right w:val="nil"/>
            </w:tcBorders>
            <w:shd w:val="clear" w:color="auto" w:fill="FFFFFF"/>
          </w:tcPr>
          <w:p w14:paraId="22C47C70" w14:textId="77777777" w:rsidR="00B764FC" w:rsidRDefault="00B764FC">
            <w:pPr>
              <w:spacing w:line="276" w:lineRule="auto"/>
              <w:rPr>
                <w:sz w:val="18"/>
                <w:szCs w:val="18"/>
              </w:rPr>
            </w:pPr>
            <w:r>
              <w:rPr>
                <w:sz w:val="18"/>
                <w:szCs w:val="18"/>
              </w:rPr>
              <w:t>About 20% of single parent families experience housing stress, due factors such as single incomes, part time work, and child care costs.  Larger households (e.g. 3 or more children) generally experience higher levels of stress.</w:t>
            </w:r>
          </w:p>
        </w:tc>
      </w:tr>
      <w:tr w:rsidR="00B764FC" w14:paraId="66374FFF" w14:textId="77777777">
        <w:tc>
          <w:tcPr>
            <w:tcW w:w="2552" w:type="dxa"/>
            <w:tcBorders>
              <w:left w:val="nil"/>
              <w:right w:val="nil"/>
            </w:tcBorders>
            <w:vAlign w:val="center"/>
          </w:tcPr>
          <w:p w14:paraId="36897358" w14:textId="77777777" w:rsidR="00B764FC" w:rsidRDefault="00B764FC">
            <w:pPr>
              <w:spacing w:line="276" w:lineRule="auto"/>
              <w:rPr>
                <w:b/>
                <w:bCs/>
                <w:sz w:val="18"/>
                <w:szCs w:val="18"/>
              </w:rPr>
            </w:pPr>
            <w:r>
              <w:rPr>
                <w:b/>
                <w:bCs/>
                <w:sz w:val="18"/>
                <w:szCs w:val="18"/>
              </w:rPr>
              <w:t xml:space="preserve">Women and children escaping family violence </w:t>
            </w:r>
          </w:p>
        </w:tc>
        <w:tc>
          <w:tcPr>
            <w:tcW w:w="6662" w:type="dxa"/>
            <w:tcBorders>
              <w:left w:val="nil"/>
              <w:right w:val="nil"/>
            </w:tcBorders>
          </w:tcPr>
          <w:p w14:paraId="521AB8FB" w14:textId="77777777" w:rsidR="00B764FC" w:rsidRDefault="00B764FC">
            <w:pPr>
              <w:spacing w:line="276" w:lineRule="auto"/>
              <w:rPr>
                <w:sz w:val="18"/>
                <w:szCs w:val="18"/>
              </w:rPr>
            </w:pPr>
            <w:r>
              <w:rPr>
                <w:sz w:val="18"/>
                <w:szCs w:val="18"/>
              </w:rPr>
              <w:t>Women and children who are forced to leave home may lack income, a rental history, and have limited financial resources due to the abuse and control exercised by the perpetrator</w:t>
            </w:r>
          </w:p>
        </w:tc>
      </w:tr>
      <w:tr w:rsidR="00B764FC" w14:paraId="1FD08981" w14:textId="77777777">
        <w:tc>
          <w:tcPr>
            <w:tcW w:w="2552" w:type="dxa"/>
            <w:tcBorders>
              <w:left w:val="nil"/>
              <w:right w:val="nil"/>
            </w:tcBorders>
            <w:vAlign w:val="center"/>
          </w:tcPr>
          <w:p w14:paraId="7304C92B" w14:textId="77777777" w:rsidR="00B764FC" w:rsidRDefault="00B764FC">
            <w:pPr>
              <w:spacing w:line="276" w:lineRule="auto"/>
              <w:rPr>
                <w:b/>
                <w:bCs/>
                <w:sz w:val="18"/>
                <w:szCs w:val="18"/>
              </w:rPr>
            </w:pPr>
            <w:r>
              <w:rPr>
                <w:b/>
                <w:bCs/>
                <w:sz w:val="18"/>
                <w:szCs w:val="18"/>
              </w:rPr>
              <w:t>Young people (aged 17-24)</w:t>
            </w:r>
          </w:p>
        </w:tc>
        <w:tc>
          <w:tcPr>
            <w:tcW w:w="6662" w:type="dxa"/>
            <w:tcBorders>
              <w:left w:val="nil"/>
              <w:right w:val="nil"/>
            </w:tcBorders>
          </w:tcPr>
          <w:p w14:paraId="19A6672B" w14:textId="77777777" w:rsidR="00B764FC" w:rsidRDefault="00B764FC">
            <w:pPr>
              <w:spacing w:line="276" w:lineRule="auto"/>
              <w:rPr>
                <w:sz w:val="18"/>
                <w:szCs w:val="18"/>
              </w:rPr>
            </w:pPr>
            <w:r>
              <w:rPr>
                <w:sz w:val="18"/>
                <w:szCs w:val="18"/>
              </w:rPr>
              <w:t>Approximately 900 young person households are experiencing housing stress (or 25% of young person households).  Some young people live unstable lives and are disengaged from education and employment. Young people with mental health issues, disabilities, and young people leaving care are particularly at risk.</w:t>
            </w:r>
          </w:p>
        </w:tc>
      </w:tr>
      <w:tr w:rsidR="00B764FC" w14:paraId="3433023F" w14:textId="77777777">
        <w:tc>
          <w:tcPr>
            <w:tcW w:w="2552" w:type="dxa"/>
            <w:tcBorders>
              <w:left w:val="nil"/>
              <w:right w:val="nil"/>
            </w:tcBorders>
            <w:shd w:val="clear" w:color="auto" w:fill="FFFFFF"/>
            <w:vAlign w:val="center"/>
          </w:tcPr>
          <w:p w14:paraId="1E37EC23" w14:textId="77777777" w:rsidR="00B764FC" w:rsidRDefault="00B764FC">
            <w:pPr>
              <w:spacing w:line="276" w:lineRule="auto"/>
              <w:rPr>
                <w:b/>
                <w:bCs/>
                <w:sz w:val="18"/>
                <w:szCs w:val="18"/>
              </w:rPr>
            </w:pPr>
            <w:r>
              <w:rPr>
                <w:b/>
                <w:bCs/>
                <w:sz w:val="18"/>
                <w:szCs w:val="18"/>
              </w:rPr>
              <w:t>Older people (aged 65 and over)</w:t>
            </w:r>
          </w:p>
        </w:tc>
        <w:tc>
          <w:tcPr>
            <w:tcW w:w="6662" w:type="dxa"/>
            <w:tcBorders>
              <w:left w:val="nil"/>
              <w:right w:val="nil"/>
            </w:tcBorders>
            <w:shd w:val="clear" w:color="auto" w:fill="FFFFFF"/>
          </w:tcPr>
          <w:p w14:paraId="626ABF1F" w14:textId="77777777" w:rsidR="00B764FC" w:rsidRDefault="00B764FC">
            <w:pPr>
              <w:spacing w:line="276" w:lineRule="auto"/>
              <w:rPr>
                <w:sz w:val="18"/>
                <w:szCs w:val="18"/>
              </w:rPr>
            </w:pPr>
            <w:r>
              <w:rPr>
                <w:sz w:val="18"/>
                <w:szCs w:val="18"/>
              </w:rPr>
              <w:t>There are about 1,000 households (4.5% of older person households) which experience stress.  This is mainly because of the relatively higher levels of home ownership among older people.</w:t>
            </w:r>
          </w:p>
        </w:tc>
      </w:tr>
      <w:tr w:rsidR="00B764FC" w14:paraId="36205D18" w14:textId="77777777">
        <w:tc>
          <w:tcPr>
            <w:tcW w:w="2552" w:type="dxa"/>
            <w:tcBorders>
              <w:left w:val="nil"/>
              <w:right w:val="nil"/>
            </w:tcBorders>
            <w:vAlign w:val="center"/>
          </w:tcPr>
          <w:p w14:paraId="23E9F9A3" w14:textId="77777777" w:rsidR="00B764FC" w:rsidRDefault="00B764FC">
            <w:pPr>
              <w:spacing w:line="276" w:lineRule="auto"/>
              <w:rPr>
                <w:b/>
                <w:bCs/>
                <w:sz w:val="18"/>
                <w:szCs w:val="18"/>
              </w:rPr>
            </w:pPr>
            <w:r>
              <w:rPr>
                <w:b/>
                <w:bCs/>
                <w:sz w:val="18"/>
                <w:szCs w:val="18"/>
              </w:rPr>
              <w:t>People who have a disability (people who need assistance)</w:t>
            </w:r>
          </w:p>
        </w:tc>
        <w:tc>
          <w:tcPr>
            <w:tcW w:w="6662" w:type="dxa"/>
            <w:tcBorders>
              <w:left w:val="nil"/>
              <w:right w:val="nil"/>
            </w:tcBorders>
          </w:tcPr>
          <w:p w14:paraId="621AB861" w14:textId="462C2BF7" w:rsidR="00B764FC" w:rsidRDefault="00B764FC">
            <w:pPr>
              <w:spacing w:line="276" w:lineRule="auto"/>
              <w:rPr>
                <w:sz w:val="18"/>
                <w:szCs w:val="18"/>
              </w:rPr>
            </w:pPr>
            <w:r>
              <w:rPr>
                <w:sz w:val="18"/>
                <w:szCs w:val="18"/>
              </w:rPr>
              <w:t xml:space="preserve">There are approximately 14,000 people with a disability in </w:t>
            </w:r>
            <w:r w:rsidR="007466F0">
              <w:rPr>
                <w:sz w:val="18"/>
                <w:szCs w:val="18"/>
              </w:rPr>
              <w:t xml:space="preserve">the City </w:t>
            </w:r>
            <w:r>
              <w:rPr>
                <w:sz w:val="18"/>
                <w:szCs w:val="18"/>
              </w:rPr>
              <w:t xml:space="preserve">(6% of the population), who require assistance with daily living activities. There are nearly 9,000 people in </w:t>
            </w:r>
            <w:r w:rsidR="007466F0">
              <w:rPr>
                <w:sz w:val="18"/>
                <w:szCs w:val="18"/>
              </w:rPr>
              <w:t xml:space="preserve">the City  </w:t>
            </w:r>
            <w:r>
              <w:rPr>
                <w:sz w:val="18"/>
                <w:szCs w:val="18"/>
              </w:rPr>
              <w:t>in receipt of the Disability Support Pension.</w:t>
            </w:r>
          </w:p>
        </w:tc>
      </w:tr>
      <w:tr w:rsidR="00B764FC" w14:paraId="0DC83F0D" w14:textId="77777777">
        <w:tc>
          <w:tcPr>
            <w:tcW w:w="2552" w:type="dxa"/>
            <w:tcBorders>
              <w:left w:val="nil"/>
              <w:right w:val="nil"/>
            </w:tcBorders>
            <w:shd w:val="clear" w:color="auto" w:fill="FFFFFF"/>
            <w:vAlign w:val="center"/>
          </w:tcPr>
          <w:p w14:paraId="12A0453A" w14:textId="77777777" w:rsidR="00B764FC" w:rsidRDefault="00B764FC">
            <w:pPr>
              <w:spacing w:line="276" w:lineRule="auto"/>
              <w:rPr>
                <w:b/>
                <w:bCs/>
                <w:sz w:val="18"/>
                <w:szCs w:val="18"/>
              </w:rPr>
            </w:pPr>
            <w:r>
              <w:rPr>
                <w:b/>
                <w:bCs/>
                <w:sz w:val="18"/>
                <w:szCs w:val="18"/>
              </w:rPr>
              <w:t>Aboriginal and Torres Strait Islander (ATSI) households</w:t>
            </w:r>
          </w:p>
        </w:tc>
        <w:tc>
          <w:tcPr>
            <w:tcW w:w="6662" w:type="dxa"/>
            <w:tcBorders>
              <w:left w:val="nil"/>
              <w:right w:val="nil"/>
            </w:tcBorders>
            <w:shd w:val="clear" w:color="auto" w:fill="FFFFFF"/>
          </w:tcPr>
          <w:p w14:paraId="298C7DF1" w14:textId="279F730E" w:rsidR="00B764FC" w:rsidRDefault="00B764FC">
            <w:pPr>
              <w:spacing w:line="276" w:lineRule="auto"/>
              <w:rPr>
                <w:sz w:val="18"/>
                <w:szCs w:val="18"/>
              </w:rPr>
            </w:pPr>
            <w:r>
              <w:rPr>
                <w:sz w:val="18"/>
                <w:szCs w:val="18"/>
              </w:rPr>
              <w:t xml:space="preserve">There are approximately 2,400 people of ATSI background living in </w:t>
            </w:r>
            <w:r w:rsidR="007466F0">
              <w:rPr>
                <w:sz w:val="18"/>
                <w:szCs w:val="18"/>
              </w:rPr>
              <w:t xml:space="preserve">the City </w:t>
            </w:r>
            <w:r>
              <w:rPr>
                <w:sz w:val="18"/>
                <w:szCs w:val="18"/>
              </w:rPr>
              <w:t>, which is the largest regional population of Aboriginal people in Victoria. Aboriginal people experience higher rates of unemployment, family violence and homelessness.</w:t>
            </w:r>
          </w:p>
        </w:tc>
      </w:tr>
      <w:tr w:rsidR="00B764FC" w14:paraId="0D29D353" w14:textId="77777777">
        <w:tc>
          <w:tcPr>
            <w:tcW w:w="2552" w:type="dxa"/>
            <w:tcBorders>
              <w:left w:val="nil"/>
              <w:right w:val="nil"/>
            </w:tcBorders>
            <w:vAlign w:val="center"/>
          </w:tcPr>
          <w:p w14:paraId="5627878D" w14:textId="77777777" w:rsidR="00B764FC" w:rsidRDefault="00B764FC">
            <w:pPr>
              <w:spacing w:line="276" w:lineRule="auto"/>
              <w:rPr>
                <w:b/>
                <w:bCs/>
                <w:sz w:val="18"/>
                <w:szCs w:val="18"/>
              </w:rPr>
            </w:pPr>
            <w:r>
              <w:rPr>
                <w:b/>
                <w:bCs/>
                <w:sz w:val="18"/>
                <w:szCs w:val="18"/>
              </w:rPr>
              <w:t>Refugees</w:t>
            </w:r>
          </w:p>
        </w:tc>
        <w:tc>
          <w:tcPr>
            <w:tcW w:w="6662" w:type="dxa"/>
            <w:tcBorders>
              <w:left w:val="nil"/>
              <w:right w:val="nil"/>
            </w:tcBorders>
          </w:tcPr>
          <w:p w14:paraId="4587FE0B" w14:textId="77777777" w:rsidR="00B764FC" w:rsidRDefault="00B764FC">
            <w:pPr>
              <w:spacing w:line="276" w:lineRule="auto"/>
              <w:rPr>
                <w:sz w:val="18"/>
                <w:szCs w:val="18"/>
              </w:rPr>
            </w:pPr>
            <w:r>
              <w:rPr>
                <w:sz w:val="18"/>
                <w:szCs w:val="18"/>
              </w:rPr>
              <w:t>Refugees are a relatively minor group in Geelong (2% of Victoria), but with particularly high levels of need due to lack of resources, language difficulties, past trauma, and limited access to services.</w:t>
            </w:r>
          </w:p>
        </w:tc>
      </w:tr>
      <w:tr w:rsidR="00B764FC" w14:paraId="2397AD48" w14:textId="77777777">
        <w:tc>
          <w:tcPr>
            <w:tcW w:w="2552" w:type="dxa"/>
            <w:tcBorders>
              <w:left w:val="nil"/>
              <w:right w:val="nil"/>
            </w:tcBorders>
            <w:vAlign w:val="center"/>
          </w:tcPr>
          <w:p w14:paraId="189CDD23" w14:textId="77777777" w:rsidR="00B764FC" w:rsidRDefault="00B764FC">
            <w:pPr>
              <w:spacing w:line="276" w:lineRule="auto"/>
              <w:rPr>
                <w:b/>
                <w:bCs/>
                <w:sz w:val="18"/>
                <w:szCs w:val="18"/>
              </w:rPr>
            </w:pPr>
            <w:r>
              <w:rPr>
                <w:b/>
                <w:bCs/>
                <w:sz w:val="18"/>
                <w:szCs w:val="18"/>
              </w:rPr>
              <w:t>People leaving prison</w:t>
            </w:r>
          </w:p>
        </w:tc>
        <w:tc>
          <w:tcPr>
            <w:tcW w:w="6662" w:type="dxa"/>
            <w:tcBorders>
              <w:left w:val="nil"/>
              <w:right w:val="nil"/>
            </w:tcBorders>
          </w:tcPr>
          <w:p w14:paraId="54DC5437" w14:textId="77777777" w:rsidR="00B764FC" w:rsidRDefault="00B764FC">
            <w:pPr>
              <w:spacing w:line="276" w:lineRule="auto"/>
              <w:rPr>
                <w:sz w:val="18"/>
                <w:szCs w:val="18"/>
              </w:rPr>
            </w:pPr>
            <w:r>
              <w:rPr>
                <w:sz w:val="18"/>
                <w:szCs w:val="18"/>
              </w:rPr>
              <w:t>There may be some people leaving prisons who seek accommodation in Geelong.  They may have relatively low incomes, lack rental history, and experience discrimination in housing and labour markets.</w:t>
            </w:r>
          </w:p>
        </w:tc>
      </w:tr>
    </w:tbl>
    <w:p w14:paraId="0CDF5AD5" w14:textId="77777777" w:rsidR="00B764FC" w:rsidRDefault="00B764FC">
      <w:pPr>
        <w:pStyle w:val="TF"/>
        <w:spacing w:before="0"/>
      </w:pPr>
      <w:r>
        <w:rPr>
          <w:i/>
          <w:iCs/>
        </w:rPr>
        <w:t>Source</w:t>
      </w:r>
      <w:r>
        <w:t>:</w:t>
      </w:r>
      <w:r>
        <w:tab/>
        <w:t>ABS, 2016; Community consultations; Greater Dandenong Social Statistics</w:t>
      </w:r>
    </w:p>
    <w:p w14:paraId="6FAC4F47" w14:textId="77777777" w:rsidR="00B764FC" w:rsidRPr="008E1523" w:rsidRDefault="00B764FC">
      <w:pPr>
        <w:pStyle w:val="Heading2"/>
      </w:pPr>
      <w:r w:rsidRPr="008E1523">
        <w:br w:type="column"/>
      </w:r>
      <w:bookmarkStart w:id="103" w:name="_Toc22120173"/>
      <w:r w:rsidRPr="008E1523">
        <w:lastRenderedPageBreak/>
        <w:t>6.7</w:t>
      </w:r>
      <w:r w:rsidRPr="008E1523">
        <w:tab/>
        <w:t>Where is social housing needed?</w:t>
      </w:r>
      <w:bookmarkEnd w:id="103"/>
    </w:p>
    <w:p w14:paraId="406A55F2" w14:textId="77777777" w:rsidR="00B764FC" w:rsidRDefault="00B764FC">
      <w:pPr>
        <w:spacing w:before="240" w:after="240" w:line="276" w:lineRule="auto"/>
        <w:rPr>
          <w:sz w:val="22"/>
          <w:szCs w:val="22"/>
        </w:rPr>
      </w:pPr>
      <w:r>
        <w:rPr>
          <w:sz w:val="22"/>
          <w:szCs w:val="22"/>
        </w:rPr>
        <w:t xml:space="preserve">While the indicated demand for social housing is 11% overall, there is considerable variation between Areas, as shown in Figure 11 below.  This shows the need for social housing in a particular Area, based on the current level of social housing, housing rental stress and homelessness.  </w:t>
      </w:r>
    </w:p>
    <w:p w14:paraId="4A700832" w14:textId="77777777" w:rsidR="00B764FC" w:rsidRDefault="00B764FC">
      <w:pPr>
        <w:spacing w:line="276" w:lineRule="auto"/>
        <w:rPr>
          <w:sz w:val="22"/>
          <w:szCs w:val="22"/>
        </w:rPr>
      </w:pPr>
      <w:r>
        <w:rPr>
          <w:sz w:val="22"/>
          <w:szCs w:val="22"/>
        </w:rPr>
        <w:t>Figure 11 shows that Area 13: Corio and Norlane have a significant estimated demand for social housing (26% of total demand), followed by Area 6: Newcomb (18% of demand).</w:t>
      </w:r>
    </w:p>
    <w:p w14:paraId="46F7337D" w14:textId="77777777" w:rsidR="00B764FC" w:rsidRDefault="00B764FC">
      <w:pPr>
        <w:spacing w:before="240" w:after="240" w:line="276" w:lineRule="auto"/>
        <w:jc w:val="both"/>
        <w:rPr>
          <w:sz w:val="22"/>
          <w:szCs w:val="22"/>
        </w:rPr>
      </w:pPr>
      <w:r>
        <w:rPr>
          <w:sz w:val="22"/>
          <w:szCs w:val="22"/>
        </w:rPr>
        <w:t xml:space="preserve">Responding to this need should be in the context of planning a more even distribution of social housing across the Geelong region. </w:t>
      </w:r>
    </w:p>
    <w:p w14:paraId="147F2DA3" w14:textId="77777777" w:rsidR="00B764FC" w:rsidRDefault="00B764FC">
      <w:pPr>
        <w:spacing w:before="240" w:after="240" w:line="276" w:lineRule="auto"/>
        <w:jc w:val="both"/>
        <w:rPr>
          <w:sz w:val="22"/>
          <w:szCs w:val="22"/>
        </w:rPr>
      </w:pPr>
      <w:r>
        <w:rPr>
          <w:sz w:val="22"/>
          <w:szCs w:val="22"/>
        </w:rPr>
        <w:t>A planned approach may include the redevelopment of existing social housing in ‘high need’ areas, as well as providing opportunities for some households living in social housing, or experiencing housing rental stress, to re-locate to other adjacent areas.</w:t>
      </w:r>
    </w:p>
    <w:p w14:paraId="6E0676EA" w14:textId="77777777" w:rsidR="00B764FC" w:rsidRDefault="00A92396">
      <w:pPr>
        <w:spacing w:line="276" w:lineRule="auto"/>
        <w:rPr>
          <w:sz w:val="22"/>
          <w:szCs w:val="22"/>
        </w:rPr>
      </w:pPr>
      <w:r>
        <w:rPr>
          <w:noProof/>
          <w:lang w:eastAsia="en-AU"/>
        </w:rPr>
        <w:drawing>
          <wp:anchor distT="0" distB="2126" distL="114300" distR="114300" simplePos="0" relativeHeight="251661824" behindDoc="0" locked="0" layoutInCell="0" allowOverlap="1" wp14:anchorId="004A9092" wp14:editId="4798F3E0">
            <wp:simplePos x="0" y="0"/>
            <wp:positionH relativeFrom="margin">
              <wp:posOffset>-12065</wp:posOffset>
            </wp:positionH>
            <wp:positionV relativeFrom="paragraph">
              <wp:posOffset>154305</wp:posOffset>
            </wp:positionV>
            <wp:extent cx="5901055" cy="3937635"/>
            <wp:effectExtent l="0" t="0" r="0" b="0"/>
            <wp:wrapNone/>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90CF1C3" w14:textId="77777777" w:rsidR="00B764FC" w:rsidRDefault="00B764FC">
      <w:pPr>
        <w:pStyle w:val="Caption"/>
      </w:pPr>
      <w:bookmarkStart w:id="104" w:name="_Toc17315083"/>
    </w:p>
    <w:p w14:paraId="50A377F7" w14:textId="77777777" w:rsidR="00B764FC" w:rsidRDefault="00B764FC">
      <w:pPr>
        <w:pStyle w:val="Caption"/>
      </w:pPr>
    </w:p>
    <w:p w14:paraId="2A3E2C6D" w14:textId="77777777" w:rsidR="00B764FC" w:rsidRDefault="00B764FC">
      <w:pPr>
        <w:pStyle w:val="Caption"/>
      </w:pPr>
    </w:p>
    <w:p w14:paraId="2E3B2871" w14:textId="77777777" w:rsidR="00B764FC" w:rsidRDefault="00B764FC">
      <w:pPr>
        <w:pStyle w:val="Caption"/>
      </w:pPr>
    </w:p>
    <w:p w14:paraId="2E8B3E89" w14:textId="77777777" w:rsidR="00B764FC" w:rsidRDefault="00B764FC">
      <w:pPr>
        <w:pStyle w:val="Caption"/>
      </w:pPr>
    </w:p>
    <w:bookmarkEnd w:id="104"/>
    <w:p w14:paraId="2EEACC30" w14:textId="77777777" w:rsidR="00B764FC" w:rsidRDefault="00B764FC">
      <w:pPr>
        <w:pStyle w:val="Caption"/>
      </w:pPr>
    </w:p>
    <w:p w14:paraId="00A80CAE" w14:textId="77777777" w:rsidR="00B764FC" w:rsidRDefault="00B764FC">
      <w:pPr>
        <w:pStyle w:val="Caption"/>
      </w:pPr>
    </w:p>
    <w:p w14:paraId="49FB2E60" w14:textId="77777777" w:rsidR="00B764FC" w:rsidRDefault="00B764FC"/>
    <w:p w14:paraId="442EF770" w14:textId="77777777" w:rsidR="00B764FC" w:rsidRDefault="00B764FC"/>
    <w:p w14:paraId="58D74B78" w14:textId="77777777" w:rsidR="00B764FC" w:rsidRDefault="00B764FC"/>
    <w:p w14:paraId="567714E2" w14:textId="77777777" w:rsidR="00B764FC" w:rsidRDefault="00B764FC"/>
    <w:p w14:paraId="3168F739" w14:textId="77777777" w:rsidR="00B764FC" w:rsidRDefault="00B764FC"/>
    <w:p w14:paraId="22E1065F" w14:textId="77777777" w:rsidR="00B764FC" w:rsidRDefault="00B764FC"/>
    <w:p w14:paraId="2DBE3AFC" w14:textId="77777777" w:rsidR="00B764FC" w:rsidRDefault="00B764FC"/>
    <w:p w14:paraId="75E9B288" w14:textId="77777777" w:rsidR="00B764FC" w:rsidRDefault="00B764FC"/>
    <w:p w14:paraId="2172F535" w14:textId="77777777" w:rsidR="00B764FC" w:rsidRDefault="00B764FC"/>
    <w:p w14:paraId="5235B803" w14:textId="77777777" w:rsidR="00B764FC" w:rsidRDefault="00B764FC"/>
    <w:p w14:paraId="71E1290C" w14:textId="77777777" w:rsidR="00B764FC" w:rsidRDefault="00B764FC"/>
    <w:p w14:paraId="65F0A905" w14:textId="77777777" w:rsidR="00B764FC" w:rsidRDefault="00B764FC"/>
    <w:p w14:paraId="5C9101CD" w14:textId="4E3AECDB" w:rsidR="00B764FC" w:rsidRDefault="00B764FC">
      <w:pPr>
        <w:pStyle w:val="Caption"/>
        <w:rPr>
          <w:b/>
          <w:bCs/>
        </w:rPr>
      </w:pPr>
      <w:bookmarkStart w:id="105" w:name="_Toc22120098"/>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11</w:t>
      </w:r>
      <w:r w:rsidR="00FF5CA4">
        <w:rPr>
          <w:b/>
          <w:bCs/>
        </w:rPr>
        <w:fldChar w:fldCharType="end"/>
      </w:r>
      <w:r>
        <w:rPr>
          <w:b/>
          <w:bCs/>
        </w:rPr>
        <w:t>:Demand for social housing, by Area (based on 2016 data)</w:t>
      </w:r>
      <w:bookmarkEnd w:id="105"/>
    </w:p>
    <w:p w14:paraId="41FEFF46" w14:textId="062D1F9E" w:rsidR="00B764FC" w:rsidRDefault="00EB3FE0">
      <w:pPr>
        <w:pStyle w:val="TF"/>
      </w:pPr>
      <w:r>
        <w:rPr>
          <w:noProof/>
          <w:lang w:eastAsia="en-AU"/>
        </w:rPr>
        <mc:AlternateContent>
          <mc:Choice Requires="wps">
            <w:drawing>
              <wp:anchor distT="0" distB="0" distL="114300" distR="114300" simplePos="0" relativeHeight="251660800" behindDoc="0" locked="0" layoutInCell="0" allowOverlap="1" wp14:anchorId="51D0B31D" wp14:editId="74282B78">
                <wp:simplePos x="0" y="0"/>
                <wp:positionH relativeFrom="column">
                  <wp:posOffset>785495</wp:posOffset>
                </wp:positionH>
                <wp:positionV relativeFrom="paragraph">
                  <wp:posOffset>220980</wp:posOffset>
                </wp:positionV>
                <wp:extent cx="4787265" cy="635"/>
                <wp:effectExtent l="0" t="1905" r="3810" b="0"/>
                <wp:wrapNone/>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26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7FE63" w14:textId="3C4E74D2" w:rsidR="00944200" w:rsidRDefault="00944200">
                            <w:pPr>
                              <w:pStyle w:val="Caption"/>
                            </w:pPr>
                            <w:bookmarkStart w:id="106" w:name="_Toc22120099"/>
                            <w:r>
                              <w:t xml:space="preserve">Figure </w:t>
                            </w:r>
                            <w:r>
                              <w:rPr>
                                <w:noProof/>
                              </w:rPr>
                              <w:fldChar w:fldCharType="begin"/>
                            </w:r>
                            <w:r>
                              <w:rPr>
                                <w:noProof/>
                              </w:rPr>
                              <w:instrText xml:space="preserve"> SEQ Figure \* ARABIC </w:instrText>
                            </w:r>
                            <w:r>
                              <w:rPr>
                                <w:noProof/>
                              </w:rPr>
                              <w:fldChar w:fldCharType="separate"/>
                            </w:r>
                            <w:r w:rsidR="00BB479E">
                              <w:rPr>
                                <w:noProof/>
                              </w:rPr>
                              <w:t>12</w:t>
                            </w:r>
                            <w:r>
                              <w:rPr>
                                <w:noProof/>
                              </w:rPr>
                              <w:fldChar w:fldCharType="end"/>
                            </w:r>
                            <w:r>
                              <w:t>: Estimated Demand for Social Housing as a Proportion of All Households – 2016</w:t>
                            </w:r>
                            <w:bookmarkEnd w:id="10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0B31D" id="Text Box 51" o:spid="_x0000_s1028" type="#_x0000_t202" style="position:absolute;left:0;text-align:left;margin-left:61.85pt;margin-top:17.4pt;width:376.9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" o:allowincell="f" stroked="f">
                <v:textbox inset="0,0,0,0">
                  <w:txbxContent>
                    <w:p w14:paraId="5D07FE63" w14:textId="3C4E74D2" w:rsidR="00944200" w:rsidRDefault="00944200">
                      <w:pPr>
                        <w:pStyle w:val="Caption"/>
                      </w:pPr>
                      <w:bookmarkStart w:id="107" w:name="_Toc22120099"/>
                      <w:r>
                        <w:t xml:space="preserve">Figure </w:t>
                      </w:r>
                      <w:r>
                        <w:rPr>
                          <w:noProof/>
                        </w:rPr>
                        <w:fldChar w:fldCharType="begin"/>
                      </w:r>
                      <w:r>
                        <w:rPr>
                          <w:noProof/>
                        </w:rPr>
                        <w:instrText xml:space="preserve"> SEQ Figure \* ARABIC </w:instrText>
                      </w:r>
                      <w:r>
                        <w:rPr>
                          <w:noProof/>
                        </w:rPr>
                        <w:fldChar w:fldCharType="separate"/>
                      </w:r>
                      <w:r w:rsidR="00BB479E">
                        <w:rPr>
                          <w:noProof/>
                        </w:rPr>
                        <w:t>12</w:t>
                      </w:r>
                      <w:r>
                        <w:rPr>
                          <w:noProof/>
                        </w:rPr>
                        <w:fldChar w:fldCharType="end"/>
                      </w:r>
                      <w:r>
                        <w:t>: Estimated Demand for Social Housing as a Proportion of All Households – 2016</w:t>
                      </w:r>
                      <w:bookmarkEnd w:id="107"/>
                    </w:p>
                  </w:txbxContent>
                </v:textbox>
              </v:shape>
            </w:pict>
          </mc:Fallback>
        </mc:AlternateContent>
      </w:r>
      <w:r w:rsidR="00B764FC">
        <w:rPr>
          <w:i/>
          <w:iCs/>
          <w:sz w:val="20"/>
          <w:szCs w:val="20"/>
        </w:rPr>
        <w:t>Source</w:t>
      </w:r>
      <w:r w:rsidR="00B764FC">
        <w:t>:</w:t>
      </w:r>
      <w:r w:rsidR="00B764FC">
        <w:tab/>
        <w:t>ABS, 2016</w:t>
      </w:r>
    </w:p>
    <w:bookmarkEnd w:id="56"/>
    <w:bookmarkEnd w:id="57"/>
    <w:bookmarkEnd w:id="58"/>
    <w:bookmarkEnd w:id="59"/>
    <w:bookmarkEnd w:id="60"/>
    <w:bookmarkEnd w:id="61"/>
    <w:p w14:paraId="6E93E62F" w14:textId="77777777" w:rsidR="00B764FC" w:rsidRPr="008E1523" w:rsidRDefault="00B764FC">
      <w:pPr>
        <w:pStyle w:val="Heading2"/>
      </w:pPr>
      <w:r w:rsidRPr="008E1523">
        <w:rPr>
          <w:lang w:val="en-US"/>
        </w:rPr>
        <w:br w:type="page"/>
      </w:r>
      <w:bookmarkStart w:id="108" w:name="_Toc22120174"/>
      <w:r w:rsidRPr="008E1523">
        <w:lastRenderedPageBreak/>
        <w:t>6.8</w:t>
      </w:r>
      <w:r w:rsidRPr="008E1523">
        <w:tab/>
        <w:t>What is the projected demand for social housing in the future?</w:t>
      </w:r>
      <w:bookmarkEnd w:id="108"/>
    </w:p>
    <w:p w14:paraId="3AF29D66" w14:textId="77777777" w:rsidR="00B764FC" w:rsidRDefault="00B764FC">
      <w:pPr>
        <w:spacing w:before="240" w:after="240" w:line="276" w:lineRule="auto"/>
        <w:jc w:val="both"/>
        <w:rPr>
          <w:sz w:val="22"/>
          <w:szCs w:val="22"/>
        </w:rPr>
      </w:pPr>
      <w:r>
        <w:rPr>
          <w:sz w:val="22"/>
          <w:szCs w:val="22"/>
        </w:rPr>
        <w:t>The demand for social housing is projected to increase in line with population increases over the next 25 years.  The projected demand for social housing is estimated by:</w:t>
      </w:r>
    </w:p>
    <w:p w14:paraId="088D2381" w14:textId="77777777" w:rsidR="00B764FC" w:rsidRDefault="00B764FC" w:rsidP="00077040">
      <w:pPr>
        <w:pStyle w:val="ListParagraph"/>
        <w:numPr>
          <w:ilvl w:val="0"/>
          <w:numId w:val="38"/>
        </w:numPr>
        <w:tabs>
          <w:tab w:val="clear" w:pos="360"/>
          <w:tab w:val="num" w:pos="1418"/>
        </w:tabs>
        <w:spacing w:before="60" w:line="276" w:lineRule="auto"/>
        <w:ind w:left="567" w:hanging="283"/>
        <w:jc w:val="both"/>
        <w:rPr>
          <w:sz w:val="22"/>
          <w:szCs w:val="22"/>
        </w:rPr>
      </w:pPr>
      <w:r>
        <w:rPr>
          <w:sz w:val="22"/>
          <w:szCs w:val="22"/>
        </w:rPr>
        <w:t>applying the rate of population increase to 2016 estimated demand</w:t>
      </w:r>
    </w:p>
    <w:p w14:paraId="2997D059" w14:textId="77777777" w:rsidR="00B764FC" w:rsidRDefault="00B764FC" w:rsidP="00077040">
      <w:pPr>
        <w:pStyle w:val="ListParagraph"/>
        <w:numPr>
          <w:ilvl w:val="0"/>
          <w:numId w:val="38"/>
        </w:numPr>
        <w:tabs>
          <w:tab w:val="clear" w:pos="360"/>
          <w:tab w:val="num" w:pos="1418"/>
        </w:tabs>
        <w:spacing w:before="60" w:after="240" w:line="276" w:lineRule="auto"/>
        <w:ind w:left="567" w:hanging="283"/>
        <w:jc w:val="both"/>
        <w:rPr>
          <w:sz w:val="22"/>
          <w:szCs w:val="22"/>
        </w:rPr>
      </w:pPr>
      <w:r>
        <w:rPr>
          <w:sz w:val="22"/>
          <w:szCs w:val="22"/>
        </w:rPr>
        <w:t>assuming that the proportion of households in housing stress stays the same at 11%</w:t>
      </w:r>
    </w:p>
    <w:p w14:paraId="4020C0EC" w14:textId="77777777" w:rsidR="00B764FC" w:rsidRDefault="00B764FC">
      <w:pPr>
        <w:spacing w:after="240" w:line="276" w:lineRule="auto"/>
        <w:jc w:val="both"/>
        <w:rPr>
          <w:sz w:val="22"/>
          <w:szCs w:val="22"/>
        </w:rPr>
      </w:pPr>
      <w:r>
        <w:rPr>
          <w:sz w:val="22"/>
          <w:szCs w:val="22"/>
        </w:rPr>
        <w:t xml:space="preserve">Population forecasts for Geelong were developed by ID Consulting in July 2019 and take into account new growth areas, as identified in the City of Greater Geelong </w:t>
      </w:r>
      <w:r>
        <w:rPr>
          <w:i/>
          <w:iCs/>
          <w:sz w:val="22"/>
          <w:szCs w:val="22"/>
        </w:rPr>
        <w:t>Settlement Strategy</w:t>
      </w:r>
      <w:r>
        <w:rPr>
          <w:sz w:val="22"/>
          <w:szCs w:val="22"/>
        </w:rPr>
        <w:t xml:space="preserve">.  </w:t>
      </w:r>
    </w:p>
    <w:p w14:paraId="4395E85D" w14:textId="0A535DFF" w:rsidR="00B764FC" w:rsidRDefault="00B764FC">
      <w:pPr>
        <w:pStyle w:val="Caption"/>
        <w:rPr>
          <w:b/>
          <w:bCs/>
        </w:rPr>
      </w:pPr>
      <w:bookmarkStart w:id="109" w:name="_Toc22120050"/>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15</w:t>
      </w:r>
      <w:r w:rsidR="00FF5CA4">
        <w:rPr>
          <w:b/>
          <w:bCs/>
        </w:rPr>
        <w:fldChar w:fldCharType="end"/>
      </w:r>
      <w:r>
        <w:rPr>
          <w:b/>
          <w:bCs/>
        </w:rPr>
        <w:t>: Projected population, households and dwellings - 2016 to 2041</w:t>
      </w:r>
      <w:bookmarkEnd w:id="109"/>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39"/>
        <w:gridCol w:w="1078"/>
        <w:gridCol w:w="1078"/>
        <w:gridCol w:w="1078"/>
        <w:gridCol w:w="1081"/>
        <w:gridCol w:w="1081"/>
        <w:gridCol w:w="1214"/>
      </w:tblGrid>
      <w:tr w:rsidR="00B764FC" w14:paraId="05B046EB" w14:textId="77777777" w:rsidTr="008E1523">
        <w:trPr>
          <w:trHeight w:val="300"/>
        </w:trPr>
        <w:tc>
          <w:tcPr>
            <w:tcW w:w="2239" w:type="dxa"/>
            <w:tcBorders>
              <w:left w:val="nil"/>
              <w:right w:val="nil"/>
            </w:tcBorders>
            <w:shd w:val="clear" w:color="auto" w:fill="002060"/>
            <w:vAlign w:val="center"/>
          </w:tcPr>
          <w:p w14:paraId="69000E53" w14:textId="77777777" w:rsidR="00B764FC" w:rsidRDefault="00B764FC">
            <w:pPr>
              <w:rPr>
                <w:b/>
                <w:bCs/>
                <w:color w:val="FFFFFF"/>
                <w:sz w:val="20"/>
                <w:szCs w:val="20"/>
              </w:rPr>
            </w:pPr>
          </w:p>
        </w:tc>
        <w:tc>
          <w:tcPr>
            <w:tcW w:w="1078" w:type="dxa"/>
            <w:tcBorders>
              <w:left w:val="nil"/>
              <w:right w:val="nil"/>
            </w:tcBorders>
            <w:shd w:val="clear" w:color="auto" w:fill="002060"/>
            <w:vAlign w:val="center"/>
          </w:tcPr>
          <w:p w14:paraId="42327E7D" w14:textId="77777777" w:rsidR="00B764FC" w:rsidRDefault="00B764FC">
            <w:pPr>
              <w:jc w:val="center"/>
              <w:rPr>
                <w:b/>
                <w:bCs/>
                <w:color w:val="FFFFFF"/>
                <w:sz w:val="20"/>
                <w:szCs w:val="20"/>
              </w:rPr>
            </w:pPr>
            <w:r>
              <w:rPr>
                <w:b/>
                <w:bCs/>
                <w:color w:val="FFFFFF"/>
                <w:sz w:val="20"/>
                <w:szCs w:val="20"/>
              </w:rPr>
              <w:t>2016</w:t>
            </w:r>
          </w:p>
        </w:tc>
        <w:tc>
          <w:tcPr>
            <w:tcW w:w="1078" w:type="dxa"/>
            <w:tcBorders>
              <w:left w:val="nil"/>
              <w:right w:val="nil"/>
            </w:tcBorders>
            <w:shd w:val="clear" w:color="auto" w:fill="002060"/>
            <w:vAlign w:val="center"/>
          </w:tcPr>
          <w:p w14:paraId="262B5050" w14:textId="77777777" w:rsidR="00B764FC" w:rsidRDefault="00B764FC">
            <w:pPr>
              <w:jc w:val="center"/>
              <w:rPr>
                <w:b/>
                <w:bCs/>
                <w:color w:val="FFFFFF"/>
                <w:sz w:val="20"/>
                <w:szCs w:val="20"/>
              </w:rPr>
            </w:pPr>
            <w:r>
              <w:rPr>
                <w:b/>
                <w:bCs/>
                <w:color w:val="FFFFFF"/>
                <w:sz w:val="20"/>
                <w:szCs w:val="20"/>
              </w:rPr>
              <w:t>2021</w:t>
            </w:r>
          </w:p>
        </w:tc>
        <w:tc>
          <w:tcPr>
            <w:tcW w:w="1078" w:type="dxa"/>
            <w:tcBorders>
              <w:left w:val="nil"/>
              <w:right w:val="nil"/>
            </w:tcBorders>
            <w:shd w:val="clear" w:color="auto" w:fill="002060"/>
            <w:vAlign w:val="center"/>
          </w:tcPr>
          <w:p w14:paraId="66B4CACD" w14:textId="77777777" w:rsidR="00B764FC" w:rsidRDefault="00B764FC">
            <w:pPr>
              <w:jc w:val="center"/>
              <w:rPr>
                <w:b/>
                <w:bCs/>
                <w:color w:val="FFFFFF"/>
                <w:sz w:val="20"/>
                <w:szCs w:val="20"/>
              </w:rPr>
            </w:pPr>
            <w:r>
              <w:rPr>
                <w:b/>
                <w:bCs/>
                <w:color w:val="FFFFFF"/>
                <w:sz w:val="20"/>
                <w:szCs w:val="20"/>
              </w:rPr>
              <w:t>2026</w:t>
            </w:r>
          </w:p>
        </w:tc>
        <w:tc>
          <w:tcPr>
            <w:tcW w:w="1081" w:type="dxa"/>
            <w:tcBorders>
              <w:left w:val="nil"/>
              <w:right w:val="nil"/>
            </w:tcBorders>
            <w:shd w:val="clear" w:color="auto" w:fill="002060"/>
            <w:vAlign w:val="center"/>
          </w:tcPr>
          <w:p w14:paraId="40D50E16" w14:textId="77777777" w:rsidR="00B764FC" w:rsidRDefault="00B764FC">
            <w:pPr>
              <w:jc w:val="center"/>
              <w:rPr>
                <w:b/>
                <w:bCs/>
                <w:color w:val="FFFFFF"/>
                <w:sz w:val="20"/>
                <w:szCs w:val="20"/>
              </w:rPr>
            </w:pPr>
            <w:r>
              <w:rPr>
                <w:b/>
                <w:bCs/>
                <w:color w:val="FFFFFF"/>
                <w:sz w:val="20"/>
                <w:szCs w:val="20"/>
              </w:rPr>
              <w:t>2031</w:t>
            </w:r>
          </w:p>
        </w:tc>
        <w:tc>
          <w:tcPr>
            <w:tcW w:w="1081" w:type="dxa"/>
            <w:tcBorders>
              <w:left w:val="nil"/>
              <w:right w:val="nil"/>
            </w:tcBorders>
            <w:shd w:val="clear" w:color="auto" w:fill="002060"/>
            <w:vAlign w:val="center"/>
          </w:tcPr>
          <w:p w14:paraId="488A463F" w14:textId="77777777" w:rsidR="00B764FC" w:rsidRDefault="00B764FC">
            <w:pPr>
              <w:jc w:val="center"/>
              <w:rPr>
                <w:b/>
                <w:bCs/>
                <w:color w:val="FFFFFF"/>
                <w:sz w:val="20"/>
                <w:szCs w:val="20"/>
              </w:rPr>
            </w:pPr>
            <w:r>
              <w:rPr>
                <w:b/>
                <w:bCs/>
                <w:color w:val="FFFFFF"/>
                <w:sz w:val="20"/>
                <w:szCs w:val="20"/>
              </w:rPr>
              <w:t>2036</w:t>
            </w:r>
          </w:p>
        </w:tc>
        <w:tc>
          <w:tcPr>
            <w:tcW w:w="1214" w:type="dxa"/>
            <w:tcBorders>
              <w:left w:val="nil"/>
              <w:right w:val="nil"/>
            </w:tcBorders>
            <w:shd w:val="clear" w:color="auto" w:fill="002060"/>
            <w:vAlign w:val="center"/>
          </w:tcPr>
          <w:p w14:paraId="7BB5BA12" w14:textId="77777777" w:rsidR="00B764FC" w:rsidRDefault="00B764FC">
            <w:pPr>
              <w:jc w:val="center"/>
              <w:rPr>
                <w:b/>
                <w:bCs/>
                <w:color w:val="FFFFFF"/>
                <w:sz w:val="20"/>
                <w:szCs w:val="20"/>
              </w:rPr>
            </w:pPr>
            <w:r>
              <w:rPr>
                <w:b/>
                <w:bCs/>
                <w:color w:val="FFFFFF"/>
                <w:sz w:val="20"/>
                <w:szCs w:val="20"/>
              </w:rPr>
              <w:t>2041</w:t>
            </w:r>
          </w:p>
        </w:tc>
      </w:tr>
      <w:tr w:rsidR="00B764FC" w14:paraId="6D1B2F92" w14:textId="77777777">
        <w:trPr>
          <w:trHeight w:val="397"/>
        </w:trPr>
        <w:tc>
          <w:tcPr>
            <w:tcW w:w="2239" w:type="dxa"/>
            <w:tcBorders>
              <w:left w:val="nil"/>
              <w:right w:val="nil"/>
            </w:tcBorders>
            <w:vAlign w:val="center"/>
          </w:tcPr>
          <w:p w14:paraId="569D5AF2" w14:textId="77777777" w:rsidR="00B764FC" w:rsidRDefault="00B764FC">
            <w:pPr>
              <w:spacing w:before="60"/>
              <w:rPr>
                <w:color w:val="000000"/>
                <w:sz w:val="20"/>
                <w:szCs w:val="20"/>
              </w:rPr>
            </w:pPr>
            <w:r>
              <w:rPr>
                <w:color w:val="000000"/>
                <w:sz w:val="20"/>
                <w:szCs w:val="20"/>
              </w:rPr>
              <w:t>Population</w:t>
            </w:r>
          </w:p>
        </w:tc>
        <w:tc>
          <w:tcPr>
            <w:tcW w:w="1078" w:type="dxa"/>
            <w:tcBorders>
              <w:left w:val="nil"/>
              <w:right w:val="nil"/>
            </w:tcBorders>
            <w:vAlign w:val="center"/>
          </w:tcPr>
          <w:p w14:paraId="6DB6CAE1" w14:textId="77777777" w:rsidR="00B764FC" w:rsidRDefault="00B764FC">
            <w:pPr>
              <w:spacing w:before="60"/>
              <w:jc w:val="center"/>
              <w:rPr>
                <w:color w:val="000000"/>
                <w:sz w:val="20"/>
                <w:szCs w:val="20"/>
              </w:rPr>
            </w:pPr>
            <w:r>
              <w:rPr>
                <w:color w:val="000000"/>
                <w:sz w:val="20"/>
                <w:szCs w:val="20"/>
              </w:rPr>
              <w:t>239,531</w:t>
            </w:r>
          </w:p>
        </w:tc>
        <w:tc>
          <w:tcPr>
            <w:tcW w:w="1078" w:type="dxa"/>
            <w:tcBorders>
              <w:left w:val="nil"/>
              <w:right w:val="nil"/>
            </w:tcBorders>
            <w:vAlign w:val="center"/>
          </w:tcPr>
          <w:p w14:paraId="18921932" w14:textId="77777777" w:rsidR="00B764FC" w:rsidRDefault="00B764FC">
            <w:pPr>
              <w:spacing w:before="60"/>
              <w:jc w:val="center"/>
              <w:rPr>
                <w:color w:val="000000"/>
                <w:sz w:val="20"/>
                <w:szCs w:val="20"/>
              </w:rPr>
            </w:pPr>
            <w:r>
              <w:rPr>
                <w:color w:val="000000"/>
                <w:sz w:val="20"/>
                <w:szCs w:val="20"/>
              </w:rPr>
              <w:t>268,984</w:t>
            </w:r>
          </w:p>
        </w:tc>
        <w:tc>
          <w:tcPr>
            <w:tcW w:w="1078" w:type="dxa"/>
            <w:tcBorders>
              <w:left w:val="nil"/>
              <w:right w:val="nil"/>
            </w:tcBorders>
            <w:vAlign w:val="center"/>
          </w:tcPr>
          <w:p w14:paraId="37DD4597" w14:textId="77777777" w:rsidR="00B764FC" w:rsidRDefault="00B764FC">
            <w:pPr>
              <w:spacing w:before="60"/>
              <w:jc w:val="center"/>
              <w:rPr>
                <w:color w:val="000000"/>
                <w:sz w:val="20"/>
                <w:szCs w:val="20"/>
              </w:rPr>
            </w:pPr>
            <w:r>
              <w:rPr>
                <w:color w:val="000000"/>
                <w:sz w:val="20"/>
                <w:szCs w:val="20"/>
              </w:rPr>
              <w:t>298,716</w:t>
            </w:r>
          </w:p>
        </w:tc>
        <w:tc>
          <w:tcPr>
            <w:tcW w:w="1081" w:type="dxa"/>
            <w:tcBorders>
              <w:left w:val="nil"/>
              <w:right w:val="nil"/>
            </w:tcBorders>
            <w:vAlign w:val="center"/>
          </w:tcPr>
          <w:p w14:paraId="3EC39510" w14:textId="77777777" w:rsidR="00B764FC" w:rsidRDefault="00B764FC">
            <w:pPr>
              <w:spacing w:before="60"/>
              <w:jc w:val="center"/>
              <w:rPr>
                <w:color w:val="000000"/>
                <w:sz w:val="20"/>
                <w:szCs w:val="20"/>
              </w:rPr>
            </w:pPr>
            <w:r>
              <w:rPr>
                <w:color w:val="000000"/>
                <w:sz w:val="20"/>
                <w:szCs w:val="20"/>
              </w:rPr>
              <w:t>330,428</w:t>
            </w:r>
          </w:p>
        </w:tc>
        <w:tc>
          <w:tcPr>
            <w:tcW w:w="1081" w:type="dxa"/>
            <w:tcBorders>
              <w:left w:val="nil"/>
              <w:right w:val="nil"/>
            </w:tcBorders>
            <w:vAlign w:val="center"/>
          </w:tcPr>
          <w:p w14:paraId="703A4D2B" w14:textId="77777777" w:rsidR="00B764FC" w:rsidRDefault="00B764FC">
            <w:pPr>
              <w:spacing w:before="60"/>
              <w:jc w:val="center"/>
              <w:rPr>
                <w:color w:val="000000"/>
                <w:sz w:val="20"/>
                <w:szCs w:val="20"/>
              </w:rPr>
            </w:pPr>
            <w:r>
              <w:rPr>
                <w:color w:val="000000"/>
                <w:sz w:val="20"/>
                <w:szCs w:val="20"/>
              </w:rPr>
              <w:t>361,014</w:t>
            </w:r>
          </w:p>
        </w:tc>
        <w:tc>
          <w:tcPr>
            <w:tcW w:w="1214" w:type="dxa"/>
            <w:tcBorders>
              <w:left w:val="nil"/>
              <w:right w:val="nil"/>
            </w:tcBorders>
            <w:vAlign w:val="center"/>
          </w:tcPr>
          <w:p w14:paraId="07AF59F8" w14:textId="77777777" w:rsidR="00B764FC" w:rsidRDefault="00B764FC">
            <w:pPr>
              <w:spacing w:before="60"/>
              <w:jc w:val="center"/>
              <w:rPr>
                <w:color w:val="000000"/>
                <w:sz w:val="20"/>
                <w:szCs w:val="20"/>
              </w:rPr>
            </w:pPr>
            <w:r>
              <w:rPr>
                <w:color w:val="000000"/>
                <w:sz w:val="20"/>
                <w:szCs w:val="20"/>
              </w:rPr>
              <w:t>393,216</w:t>
            </w:r>
          </w:p>
        </w:tc>
      </w:tr>
      <w:tr w:rsidR="00B764FC" w14:paraId="767A14D7" w14:textId="77777777">
        <w:trPr>
          <w:trHeight w:val="397"/>
        </w:trPr>
        <w:tc>
          <w:tcPr>
            <w:tcW w:w="2239" w:type="dxa"/>
            <w:tcBorders>
              <w:left w:val="nil"/>
              <w:right w:val="nil"/>
            </w:tcBorders>
            <w:vAlign w:val="center"/>
          </w:tcPr>
          <w:p w14:paraId="46FCE1E2" w14:textId="77777777" w:rsidR="00B764FC" w:rsidRDefault="00B764FC">
            <w:pPr>
              <w:spacing w:before="60"/>
              <w:rPr>
                <w:color w:val="000000"/>
                <w:sz w:val="20"/>
                <w:szCs w:val="20"/>
              </w:rPr>
            </w:pPr>
            <w:r>
              <w:rPr>
                <w:color w:val="000000"/>
                <w:sz w:val="20"/>
                <w:szCs w:val="20"/>
              </w:rPr>
              <w:t>Dwellings</w:t>
            </w:r>
          </w:p>
        </w:tc>
        <w:tc>
          <w:tcPr>
            <w:tcW w:w="1078" w:type="dxa"/>
            <w:tcBorders>
              <w:left w:val="nil"/>
              <w:right w:val="nil"/>
            </w:tcBorders>
            <w:vAlign w:val="center"/>
          </w:tcPr>
          <w:p w14:paraId="6E728007" w14:textId="77777777" w:rsidR="00B764FC" w:rsidRDefault="00B764FC">
            <w:pPr>
              <w:jc w:val="center"/>
              <w:rPr>
                <w:color w:val="000000"/>
                <w:sz w:val="20"/>
                <w:szCs w:val="20"/>
              </w:rPr>
            </w:pPr>
            <w:r>
              <w:rPr>
                <w:color w:val="000000"/>
                <w:sz w:val="20"/>
                <w:szCs w:val="20"/>
              </w:rPr>
              <w:t>106,568</w:t>
            </w:r>
          </w:p>
        </w:tc>
        <w:tc>
          <w:tcPr>
            <w:tcW w:w="1078" w:type="dxa"/>
            <w:tcBorders>
              <w:left w:val="nil"/>
              <w:right w:val="nil"/>
            </w:tcBorders>
            <w:vAlign w:val="center"/>
          </w:tcPr>
          <w:p w14:paraId="39A68015" w14:textId="77777777" w:rsidR="00B764FC" w:rsidRDefault="00B764FC">
            <w:pPr>
              <w:jc w:val="center"/>
              <w:rPr>
                <w:color w:val="000000"/>
                <w:sz w:val="20"/>
                <w:szCs w:val="20"/>
              </w:rPr>
            </w:pPr>
            <w:r>
              <w:rPr>
                <w:color w:val="000000"/>
                <w:sz w:val="20"/>
                <w:szCs w:val="20"/>
              </w:rPr>
              <w:t>119,659</w:t>
            </w:r>
          </w:p>
        </w:tc>
        <w:tc>
          <w:tcPr>
            <w:tcW w:w="1078" w:type="dxa"/>
            <w:tcBorders>
              <w:left w:val="nil"/>
              <w:right w:val="nil"/>
            </w:tcBorders>
            <w:vAlign w:val="center"/>
          </w:tcPr>
          <w:p w14:paraId="438C8311" w14:textId="77777777" w:rsidR="00B764FC" w:rsidRDefault="00B764FC">
            <w:pPr>
              <w:jc w:val="center"/>
              <w:rPr>
                <w:color w:val="000000"/>
                <w:sz w:val="20"/>
                <w:szCs w:val="20"/>
              </w:rPr>
            </w:pPr>
            <w:r>
              <w:rPr>
                <w:color w:val="000000"/>
                <w:sz w:val="20"/>
                <w:szCs w:val="20"/>
              </w:rPr>
              <w:t>133,643</w:t>
            </w:r>
          </w:p>
        </w:tc>
        <w:tc>
          <w:tcPr>
            <w:tcW w:w="1081" w:type="dxa"/>
            <w:tcBorders>
              <w:left w:val="nil"/>
              <w:right w:val="nil"/>
            </w:tcBorders>
            <w:vAlign w:val="center"/>
          </w:tcPr>
          <w:p w14:paraId="008CEA10" w14:textId="77777777" w:rsidR="00B764FC" w:rsidRDefault="00B764FC">
            <w:pPr>
              <w:jc w:val="center"/>
              <w:rPr>
                <w:color w:val="000000"/>
                <w:sz w:val="20"/>
                <w:szCs w:val="20"/>
              </w:rPr>
            </w:pPr>
            <w:r>
              <w:rPr>
                <w:color w:val="000000"/>
                <w:sz w:val="20"/>
                <w:szCs w:val="20"/>
              </w:rPr>
              <w:t>148,103</w:t>
            </w:r>
          </w:p>
        </w:tc>
        <w:tc>
          <w:tcPr>
            <w:tcW w:w="1081" w:type="dxa"/>
            <w:tcBorders>
              <w:left w:val="nil"/>
              <w:right w:val="nil"/>
            </w:tcBorders>
            <w:vAlign w:val="center"/>
          </w:tcPr>
          <w:p w14:paraId="38FC14D8" w14:textId="77777777" w:rsidR="00B764FC" w:rsidRDefault="00B764FC">
            <w:pPr>
              <w:jc w:val="center"/>
              <w:rPr>
                <w:color w:val="000000"/>
                <w:sz w:val="20"/>
                <w:szCs w:val="20"/>
              </w:rPr>
            </w:pPr>
            <w:r>
              <w:rPr>
                <w:color w:val="000000"/>
                <w:sz w:val="20"/>
                <w:szCs w:val="20"/>
              </w:rPr>
              <w:t>161,978</w:t>
            </w:r>
          </w:p>
        </w:tc>
        <w:tc>
          <w:tcPr>
            <w:tcW w:w="1214" w:type="dxa"/>
            <w:tcBorders>
              <w:left w:val="nil"/>
              <w:right w:val="nil"/>
            </w:tcBorders>
            <w:vAlign w:val="center"/>
          </w:tcPr>
          <w:p w14:paraId="39B882AE" w14:textId="77777777" w:rsidR="00B764FC" w:rsidRDefault="00B764FC">
            <w:pPr>
              <w:jc w:val="center"/>
              <w:rPr>
                <w:color w:val="000000"/>
                <w:sz w:val="20"/>
                <w:szCs w:val="20"/>
              </w:rPr>
            </w:pPr>
            <w:r>
              <w:rPr>
                <w:color w:val="000000"/>
                <w:sz w:val="20"/>
                <w:szCs w:val="20"/>
              </w:rPr>
              <w:t>176,622</w:t>
            </w:r>
          </w:p>
        </w:tc>
      </w:tr>
      <w:tr w:rsidR="00B764FC" w14:paraId="033BEAE3" w14:textId="77777777">
        <w:trPr>
          <w:trHeight w:val="397"/>
        </w:trPr>
        <w:tc>
          <w:tcPr>
            <w:tcW w:w="2239" w:type="dxa"/>
            <w:tcBorders>
              <w:left w:val="nil"/>
              <w:right w:val="nil"/>
            </w:tcBorders>
            <w:vAlign w:val="center"/>
          </w:tcPr>
          <w:p w14:paraId="447E6ED2" w14:textId="77777777" w:rsidR="00B764FC" w:rsidRDefault="00B764FC">
            <w:pPr>
              <w:spacing w:before="60"/>
              <w:rPr>
                <w:color w:val="000000"/>
                <w:sz w:val="20"/>
                <w:szCs w:val="20"/>
              </w:rPr>
            </w:pPr>
            <w:r>
              <w:rPr>
                <w:color w:val="000000"/>
                <w:sz w:val="20"/>
                <w:szCs w:val="20"/>
              </w:rPr>
              <w:t>Households</w:t>
            </w:r>
          </w:p>
        </w:tc>
        <w:tc>
          <w:tcPr>
            <w:tcW w:w="1078" w:type="dxa"/>
            <w:tcBorders>
              <w:left w:val="nil"/>
              <w:right w:val="nil"/>
            </w:tcBorders>
            <w:vAlign w:val="center"/>
          </w:tcPr>
          <w:p w14:paraId="416E4BBA" w14:textId="77777777" w:rsidR="00B764FC" w:rsidRDefault="00B764FC">
            <w:pPr>
              <w:spacing w:before="60"/>
              <w:jc w:val="center"/>
              <w:rPr>
                <w:color w:val="000000"/>
                <w:sz w:val="20"/>
                <w:szCs w:val="20"/>
              </w:rPr>
            </w:pPr>
            <w:r>
              <w:rPr>
                <w:color w:val="000000"/>
                <w:sz w:val="20"/>
                <w:szCs w:val="20"/>
              </w:rPr>
              <w:t>95,840</w:t>
            </w:r>
          </w:p>
        </w:tc>
        <w:tc>
          <w:tcPr>
            <w:tcW w:w="1078" w:type="dxa"/>
            <w:tcBorders>
              <w:left w:val="nil"/>
              <w:right w:val="nil"/>
            </w:tcBorders>
            <w:vAlign w:val="center"/>
          </w:tcPr>
          <w:p w14:paraId="3F5BE574" w14:textId="77777777" w:rsidR="00B764FC" w:rsidRDefault="00B764FC">
            <w:pPr>
              <w:spacing w:before="60"/>
              <w:jc w:val="center"/>
              <w:rPr>
                <w:color w:val="000000"/>
                <w:sz w:val="20"/>
                <w:szCs w:val="20"/>
              </w:rPr>
            </w:pPr>
            <w:r>
              <w:rPr>
                <w:color w:val="000000"/>
                <w:sz w:val="20"/>
                <w:szCs w:val="20"/>
              </w:rPr>
              <w:t>107,371</w:t>
            </w:r>
          </w:p>
        </w:tc>
        <w:tc>
          <w:tcPr>
            <w:tcW w:w="1078" w:type="dxa"/>
            <w:tcBorders>
              <w:left w:val="nil"/>
              <w:right w:val="nil"/>
            </w:tcBorders>
            <w:vAlign w:val="center"/>
          </w:tcPr>
          <w:p w14:paraId="437E6689" w14:textId="77777777" w:rsidR="00B764FC" w:rsidRDefault="00B764FC">
            <w:pPr>
              <w:spacing w:before="60"/>
              <w:jc w:val="center"/>
              <w:rPr>
                <w:color w:val="000000"/>
                <w:sz w:val="20"/>
                <w:szCs w:val="20"/>
              </w:rPr>
            </w:pPr>
            <w:r>
              <w:rPr>
                <w:color w:val="000000"/>
                <w:sz w:val="20"/>
                <w:szCs w:val="20"/>
              </w:rPr>
              <w:t>119,467</w:t>
            </w:r>
          </w:p>
        </w:tc>
        <w:tc>
          <w:tcPr>
            <w:tcW w:w="1081" w:type="dxa"/>
            <w:tcBorders>
              <w:left w:val="nil"/>
              <w:right w:val="nil"/>
            </w:tcBorders>
            <w:vAlign w:val="center"/>
          </w:tcPr>
          <w:p w14:paraId="633075FA" w14:textId="77777777" w:rsidR="00B764FC" w:rsidRDefault="00B764FC">
            <w:pPr>
              <w:spacing w:before="60"/>
              <w:jc w:val="center"/>
              <w:rPr>
                <w:color w:val="000000"/>
                <w:sz w:val="20"/>
                <w:szCs w:val="20"/>
              </w:rPr>
            </w:pPr>
            <w:r>
              <w:rPr>
                <w:color w:val="000000"/>
                <w:sz w:val="20"/>
                <w:szCs w:val="20"/>
              </w:rPr>
              <w:t>132,332</w:t>
            </w:r>
          </w:p>
        </w:tc>
        <w:tc>
          <w:tcPr>
            <w:tcW w:w="1081" w:type="dxa"/>
            <w:tcBorders>
              <w:left w:val="nil"/>
              <w:right w:val="nil"/>
            </w:tcBorders>
            <w:vAlign w:val="center"/>
          </w:tcPr>
          <w:p w14:paraId="552ADA5A" w14:textId="77777777" w:rsidR="00B764FC" w:rsidRDefault="00B764FC">
            <w:pPr>
              <w:spacing w:before="60"/>
              <w:jc w:val="center"/>
              <w:rPr>
                <w:color w:val="000000"/>
                <w:sz w:val="20"/>
                <w:szCs w:val="20"/>
              </w:rPr>
            </w:pPr>
            <w:r>
              <w:rPr>
                <w:color w:val="000000"/>
                <w:sz w:val="20"/>
                <w:szCs w:val="20"/>
              </w:rPr>
              <w:t>144,822</w:t>
            </w:r>
          </w:p>
        </w:tc>
        <w:tc>
          <w:tcPr>
            <w:tcW w:w="1214" w:type="dxa"/>
            <w:tcBorders>
              <w:left w:val="nil"/>
              <w:right w:val="nil"/>
            </w:tcBorders>
            <w:vAlign w:val="center"/>
          </w:tcPr>
          <w:p w14:paraId="68078310" w14:textId="77777777" w:rsidR="00B764FC" w:rsidRDefault="00B764FC">
            <w:pPr>
              <w:spacing w:before="60"/>
              <w:jc w:val="center"/>
              <w:rPr>
                <w:color w:val="000000"/>
                <w:sz w:val="20"/>
                <w:szCs w:val="20"/>
              </w:rPr>
            </w:pPr>
            <w:r>
              <w:rPr>
                <w:color w:val="000000"/>
                <w:sz w:val="20"/>
                <w:szCs w:val="20"/>
              </w:rPr>
              <w:t>158,111</w:t>
            </w:r>
          </w:p>
        </w:tc>
      </w:tr>
      <w:tr w:rsidR="00B764FC" w14:paraId="51754538" w14:textId="77777777">
        <w:trPr>
          <w:trHeight w:val="300"/>
        </w:trPr>
        <w:tc>
          <w:tcPr>
            <w:tcW w:w="2239" w:type="dxa"/>
            <w:tcBorders>
              <w:left w:val="nil"/>
              <w:right w:val="nil"/>
            </w:tcBorders>
            <w:shd w:val="clear" w:color="auto" w:fill="C0C0C0"/>
            <w:vAlign w:val="center"/>
          </w:tcPr>
          <w:p w14:paraId="2CAEB36C" w14:textId="77777777" w:rsidR="00B764FC" w:rsidRDefault="00B764FC">
            <w:pPr>
              <w:spacing w:before="60"/>
              <w:rPr>
                <w:b/>
                <w:bCs/>
                <w:i/>
                <w:iCs/>
                <w:color w:val="000000"/>
                <w:sz w:val="20"/>
                <w:szCs w:val="20"/>
              </w:rPr>
            </w:pPr>
            <w:r>
              <w:rPr>
                <w:b/>
                <w:bCs/>
                <w:i/>
                <w:iCs/>
                <w:color w:val="000000"/>
                <w:sz w:val="20"/>
                <w:szCs w:val="20"/>
              </w:rPr>
              <w:t>Demand for social housing (households)</w:t>
            </w:r>
          </w:p>
        </w:tc>
        <w:tc>
          <w:tcPr>
            <w:tcW w:w="1078" w:type="dxa"/>
            <w:tcBorders>
              <w:left w:val="nil"/>
              <w:right w:val="nil"/>
            </w:tcBorders>
            <w:shd w:val="clear" w:color="auto" w:fill="C0C0C0"/>
            <w:vAlign w:val="center"/>
          </w:tcPr>
          <w:p w14:paraId="45260F7A" w14:textId="77777777" w:rsidR="00B764FC" w:rsidRDefault="00B764FC">
            <w:pPr>
              <w:spacing w:before="60"/>
              <w:jc w:val="center"/>
              <w:rPr>
                <w:b/>
                <w:bCs/>
                <w:i/>
                <w:iCs/>
                <w:color w:val="000000"/>
                <w:sz w:val="20"/>
                <w:szCs w:val="20"/>
              </w:rPr>
            </w:pPr>
            <w:r>
              <w:rPr>
                <w:b/>
                <w:bCs/>
                <w:i/>
                <w:iCs/>
                <w:color w:val="000000"/>
                <w:sz w:val="20"/>
                <w:szCs w:val="20"/>
              </w:rPr>
              <w:t>10,196</w:t>
            </w:r>
          </w:p>
        </w:tc>
        <w:tc>
          <w:tcPr>
            <w:tcW w:w="1078" w:type="dxa"/>
            <w:tcBorders>
              <w:left w:val="nil"/>
              <w:right w:val="nil"/>
            </w:tcBorders>
            <w:shd w:val="clear" w:color="auto" w:fill="C0C0C0"/>
            <w:vAlign w:val="center"/>
          </w:tcPr>
          <w:p w14:paraId="602C929C" w14:textId="77777777" w:rsidR="00B764FC" w:rsidRDefault="00B764FC">
            <w:pPr>
              <w:spacing w:before="60"/>
              <w:jc w:val="center"/>
              <w:rPr>
                <w:b/>
                <w:bCs/>
                <w:i/>
                <w:iCs/>
                <w:color w:val="000000"/>
                <w:sz w:val="20"/>
                <w:szCs w:val="20"/>
              </w:rPr>
            </w:pPr>
            <w:r>
              <w:rPr>
                <w:b/>
                <w:bCs/>
                <w:i/>
                <w:iCs/>
                <w:color w:val="000000"/>
                <w:sz w:val="20"/>
                <w:szCs w:val="20"/>
              </w:rPr>
              <w:t>11,423</w:t>
            </w:r>
          </w:p>
        </w:tc>
        <w:tc>
          <w:tcPr>
            <w:tcW w:w="1078" w:type="dxa"/>
            <w:tcBorders>
              <w:left w:val="nil"/>
              <w:right w:val="nil"/>
            </w:tcBorders>
            <w:shd w:val="clear" w:color="auto" w:fill="C0C0C0"/>
            <w:vAlign w:val="center"/>
          </w:tcPr>
          <w:p w14:paraId="29015BF7" w14:textId="77777777" w:rsidR="00B764FC" w:rsidRDefault="00B764FC">
            <w:pPr>
              <w:spacing w:before="60"/>
              <w:jc w:val="center"/>
              <w:rPr>
                <w:b/>
                <w:bCs/>
                <w:i/>
                <w:iCs/>
                <w:color w:val="000000"/>
                <w:sz w:val="20"/>
                <w:szCs w:val="20"/>
              </w:rPr>
            </w:pPr>
            <w:r>
              <w:rPr>
                <w:b/>
                <w:bCs/>
                <w:i/>
                <w:iCs/>
                <w:color w:val="000000"/>
                <w:sz w:val="20"/>
                <w:szCs w:val="20"/>
              </w:rPr>
              <w:t>12,710</w:t>
            </w:r>
          </w:p>
        </w:tc>
        <w:tc>
          <w:tcPr>
            <w:tcW w:w="1081" w:type="dxa"/>
            <w:tcBorders>
              <w:left w:val="nil"/>
              <w:right w:val="nil"/>
            </w:tcBorders>
            <w:shd w:val="clear" w:color="auto" w:fill="C0C0C0"/>
            <w:vAlign w:val="center"/>
          </w:tcPr>
          <w:p w14:paraId="3431DEC9" w14:textId="77777777" w:rsidR="00B764FC" w:rsidRDefault="00B764FC">
            <w:pPr>
              <w:spacing w:before="60"/>
              <w:jc w:val="center"/>
              <w:rPr>
                <w:b/>
                <w:bCs/>
                <w:i/>
                <w:iCs/>
                <w:color w:val="000000"/>
                <w:sz w:val="20"/>
                <w:szCs w:val="20"/>
              </w:rPr>
            </w:pPr>
            <w:r>
              <w:rPr>
                <w:b/>
                <w:bCs/>
                <w:i/>
                <w:iCs/>
                <w:color w:val="000000"/>
                <w:sz w:val="20"/>
                <w:szCs w:val="20"/>
              </w:rPr>
              <w:t>14,078</w:t>
            </w:r>
          </w:p>
        </w:tc>
        <w:tc>
          <w:tcPr>
            <w:tcW w:w="1081" w:type="dxa"/>
            <w:tcBorders>
              <w:left w:val="nil"/>
              <w:right w:val="nil"/>
            </w:tcBorders>
            <w:shd w:val="clear" w:color="auto" w:fill="C0C0C0"/>
            <w:vAlign w:val="center"/>
          </w:tcPr>
          <w:p w14:paraId="783C8681" w14:textId="77777777" w:rsidR="00B764FC" w:rsidRDefault="00B764FC">
            <w:pPr>
              <w:spacing w:before="60"/>
              <w:jc w:val="center"/>
              <w:rPr>
                <w:b/>
                <w:bCs/>
                <w:i/>
                <w:iCs/>
                <w:color w:val="000000"/>
                <w:sz w:val="20"/>
                <w:szCs w:val="20"/>
              </w:rPr>
            </w:pPr>
            <w:r>
              <w:rPr>
                <w:b/>
                <w:bCs/>
                <w:i/>
                <w:iCs/>
                <w:color w:val="000000"/>
                <w:sz w:val="20"/>
                <w:szCs w:val="20"/>
              </w:rPr>
              <w:t>15,407</w:t>
            </w:r>
          </w:p>
        </w:tc>
        <w:tc>
          <w:tcPr>
            <w:tcW w:w="1214" w:type="dxa"/>
            <w:tcBorders>
              <w:left w:val="nil"/>
              <w:right w:val="nil"/>
            </w:tcBorders>
            <w:shd w:val="clear" w:color="auto" w:fill="C0C0C0"/>
            <w:vAlign w:val="center"/>
          </w:tcPr>
          <w:p w14:paraId="4500F9A0" w14:textId="77777777" w:rsidR="00B764FC" w:rsidRDefault="00B764FC">
            <w:pPr>
              <w:spacing w:before="60"/>
              <w:jc w:val="center"/>
              <w:rPr>
                <w:b/>
                <w:bCs/>
                <w:i/>
                <w:iCs/>
                <w:color w:val="000000"/>
                <w:sz w:val="20"/>
                <w:szCs w:val="20"/>
              </w:rPr>
            </w:pPr>
            <w:r>
              <w:rPr>
                <w:b/>
                <w:bCs/>
                <w:i/>
                <w:iCs/>
                <w:color w:val="000000"/>
                <w:sz w:val="20"/>
                <w:szCs w:val="20"/>
              </w:rPr>
              <w:t>16,821</w:t>
            </w:r>
          </w:p>
        </w:tc>
      </w:tr>
    </w:tbl>
    <w:p w14:paraId="1AED43DF" w14:textId="4F26C504" w:rsidR="00B764FC" w:rsidRDefault="00B764FC">
      <w:pPr>
        <w:spacing w:after="240"/>
        <w:rPr>
          <w:sz w:val="20"/>
          <w:szCs w:val="20"/>
        </w:rPr>
      </w:pPr>
      <w:r>
        <w:rPr>
          <w:i/>
          <w:iCs/>
          <w:sz w:val="20"/>
          <w:szCs w:val="20"/>
        </w:rPr>
        <w:t>Source</w:t>
      </w:r>
      <w:r>
        <w:rPr>
          <w:sz w:val="20"/>
          <w:szCs w:val="20"/>
        </w:rPr>
        <w:t xml:space="preserve">: forecastid.com, based on information provided by </w:t>
      </w:r>
      <w:r w:rsidR="007466F0">
        <w:rPr>
          <w:sz w:val="20"/>
          <w:szCs w:val="20"/>
        </w:rPr>
        <w:t>the City of Greater Geelong</w:t>
      </w:r>
    </w:p>
    <w:p w14:paraId="1B518347" w14:textId="77777777" w:rsidR="00B764FC" w:rsidRDefault="00B764FC">
      <w:pPr>
        <w:spacing w:after="240" w:line="276" w:lineRule="auto"/>
        <w:jc w:val="both"/>
        <w:rPr>
          <w:sz w:val="22"/>
          <w:szCs w:val="22"/>
          <w:lang w:val="en-US"/>
        </w:rPr>
      </w:pPr>
      <w:r>
        <w:rPr>
          <w:sz w:val="22"/>
          <w:szCs w:val="22"/>
          <w:lang w:val="en-US"/>
        </w:rPr>
        <w:t xml:space="preserve">Figure 13 on the following page illustrates the projected population growth by Area, over the next 25 years. </w:t>
      </w:r>
    </w:p>
    <w:p w14:paraId="2125F64A" w14:textId="77777777" w:rsidR="00B764FC" w:rsidRDefault="00B764FC">
      <w:pPr>
        <w:spacing w:after="240" w:line="276" w:lineRule="auto"/>
        <w:jc w:val="both"/>
        <w:rPr>
          <w:sz w:val="22"/>
          <w:szCs w:val="22"/>
          <w:lang w:val="en-US"/>
        </w:rPr>
      </w:pPr>
      <w:r>
        <w:rPr>
          <w:sz w:val="22"/>
          <w:szCs w:val="22"/>
          <w:lang w:val="en-US"/>
        </w:rPr>
        <w:t>Major growth areas in the City of Greater Geelong over the next 25 years include:</w:t>
      </w:r>
    </w:p>
    <w:p w14:paraId="486630E6"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lang w:val="en-US"/>
        </w:rPr>
      </w:pPr>
      <w:r>
        <w:rPr>
          <w:sz w:val="22"/>
          <w:szCs w:val="22"/>
          <w:lang w:val="en-US"/>
        </w:rPr>
        <w:t>Armstrong Creek, Marshall and Charlemont (Area 1)</w:t>
      </w:r>
    </w:p>
    <w:p w14:paraId="136ED45B"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lang w:val="en-US"/>
        </w:rPr>
      </w:pPr>
      <w:r>
        <w:rPr>
          <w:sz w:val="22"/>
          <w:szCs w:val="22"/>
          <w:lang w:val="en-US"/>
        </w:rPr>
        <w:t>Lovely Banks, Rural North (Area 15)</w:t>
      </w:r>
    </w:p>
    <w:p w14:paraId="1DD550A5"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lang w:val="en-US"/>
        </w:rPr>
      </w:pPr>
      <w:r>
        <w:rPr>
          <w:sz w:val="22"/>
          <w:szCs w:val="22"/>
          <w:lang w:val="en-US"/>
        </w:rPr>
        <w:t xml:space="preserve">Bell Park, Bell Post Hill, North Geelong (Area 11) </w:t>
      </w:r>
    </w:p>
    <w:p w14:paraId="1B839C84" w14:textId="77777777" w:rsidR="00B764FC" w:rsidRDefault="00B764FC" w:rsidP="00077040">
      <w:pPr>
        <w:pStyle w:val="ListParagraph"/>
        <w:numPr>
          <w:ilvl w:val="0"/>
          <w:numId w:val="38"/>
        </w:numPr>
        <w:tabs>
          <w:tab w:val="clear" w:pos="360"/>
          <w:tab w:val="num" w:pos="1418"/>
        </w:tabs>
        <w:spacing w:before="60" w:after="240" w:line="276" w:lineRule="auto"/>
        <w:ind w:left="567" w:hanging="425"/>
        <w:jc w:val="both"/>
        <w:rPr>
          <w:sz w:val="22"/>
          <w:szCs w:val="22"/>
          <w:lang w:val="en-US"/>
        </w:rPr>
      </w:pPr>
      <w:r>
        <w:rPr>
          <w:sz w:val="22"/>
          <w:szCs w:val="22"/>
          <w:lang w:val="en-US"/>
        </w:rPr>
        <w:t>Hamlyn Heights, Fyansford (Area 12)</w:t>
      </w:r>
    </w:p>
    <w:p w14:paraId="23182DE0" w14:textId="77777777" w:rsidR="00B764FC" w:rsidRDefault="00B764FC">
      <w:pPr>
        <w:spacing w:after="240" w:line="276" w:lineRule="auto"/>
        <w:jc w:val="both"/>
        <w:rPr>
          <w:sz w:val="22"/>
          <w:szCs w:val="22"/>
          <w:lang w:val="en-US"/>
        </w:rPr>
      </w:pPr>
      <w:r>
        <w:rPr>
          <w:sz w:val="22"/>
          <w:szCs w:val="22"/>
          <w:lang w:val="en-US"/>
        </w:rPr>
        <w:t>The established areas around Geelong are expected to grow by 15-20% through infill, and the development of housing around activity centres.</w:t>
      </w:r>
    </w:p>
    <w:p w14:paraId="71A4AD82" w14:textId="77777777" w:rsidR="00B764FC" w:rsidRDefault="00B764FC">
      <w:pPr>
        <w:spacing w:line="276" w:lineRule="auto"/>
        <w:jc w:val="both"/>
        <w:rPr>
          <w:sz w:val="22"/>
          <w:szCs w:val="22"/>
          <w:lang w:val="en-US"/>
        </w:rPr>
      </w:pPr>
      <w:r>
        <w:rPr>
          <w:sz w:val="22"/>
          <w:szCs w:val="22"/>
          <w:lang w:val="en-US"/>
        </w:rPr>
        <w:t>Towns on the Bellarine Peninsula are expected to grow at moderate rates (30-40%) over the next 25 years, mainly through broad hectare development (constrained within town boundaries), and also through higher density developments in existing activity centres.</w:t>
      </w:r>
      <w:r>
        <w:rPr>
          <w:rStyle w:val="FootnoteReference"/>
          <w:sz w:val="22"/>
          <w:szCs w:val="22"/>
          <w:lang w:val="en-US"/>
        </w:rPr>
        <w:footnoteReference w:id="12"/>
      </w:r>
    </w:p>
    <w:p w14:paraId="55A14AD6" w14:textId="77777777" w:rsidR="00B764FC" w:rsidRDefault="00B764FC">
      <w:pPr>
        <w:spacing w:line="276" w:lineRule="auto"/>
        <w:rPr>
          <w:b/>
          <w:bCs/>
          <w:sz w:val="22"/>
          <w:szCs w:val="22"/>
          <w:lang w:val="en-US"/>
        </w:rPr>
      </w:pPr>
      <w:r>
        <w:rPr>
          <w:lang w:val="en-US"/>
        </w:rPr>
        <w:br w:type="column"/>
      </w:r>
      <w:r>
        <w:rPr>
          <w:b/>
          <w:bCs/>
          <w:sz w:val="22"/>
          <w:szCs w:val="22"/>
          <w:lang w:val="en-US"/>
        </w:rPr>
        <w:lastRenderedPageBreak/>
        <w:t>In summary:</w:t>
      </w:r>
    </w:p>
    <w:p w14:paraId="27C0E243" w14:textId="77777777" w:rsidR="00B764FC" w:rsidRDefault="00B764FC">
      <w:pPr>
        <w:rPr>
          <w:sz w:val="18"/>
          <w:szCs w:val="18"/>
          <w:lang w:val="en-US"/>
        </w:rPr>
      </w:pPr>
    </w:p>
    <w:p w14:paraId="2DB4FB1C" w14:textId="77777777" w:rsidR="00B764FC" w:rsidRDefault="00B764FC">
      <w:pPr>
        <w:spacing w:line="276" w:lineRule="auto"/>
        <w:jc w:val="both"/>
        <w:rPr>
          <w:sz w:val="22"/>
          <w:szCs w:val="22"/>
        </w:rPr>
      </w:pPr>
      <w:r>
        <w:rPr>
          <w:sz w:val="22"/>
          <w:szCs w:val="22"/>
          <w:lang w:val="en-US"/>
        </w:rPr>
        <w:t xml:space="preserve">This section has shown that the estimated total demand for social housing in Geelong is far greater than the current number of households living in social housing. There is also clear evidence that the need for social hosing is greatest amongst certain households including: </w:t>
      </w:r>
      <w:r>
        <w:rPr>
          <w:sz w:val="22"/>
          <w:szCs w:val="22"/>
        </w:rPr>
        <w:t>single parent households; lone person households, and other groups such as newly arrived and refuges families. There is also evidence that the certain areas have higher demand for social housing, particularly, Corio and Norlane (26% of total demand) and Newcomb (18% of demand).</w:t>
      </w:r>
    </w:p>
    <w:p w14:paraId="131221B0" w14:textId="77777777" w:rsidR="00B764FC" w:rsidRDefault="00B764FC">
      <w:pPr>
        <w:spacing w:line="276" w:lineRule="auto"/>
        <w:jc w:val="both"/>
        <w:rPr>
          <w:i/>
          <w:iCs/>
        </w:rPr>
      </w:pPr>
    </w:p>
    <w:p w14:paraId="39A31F79" w14:textId="77777777" w:rsidR="00B764FC" w:rsidRDefault="00B764FC">
      <w:pPr>
        <w:pStyle w:val="TF"/>
        <w:rPr>
          <w:sz w:val="22"/>
          <w:szCs w:val="22"/>
          <w:lang w:val="en-US"/>
        </w:rPr>
      </w:pPr>
      <w:r>
        <w:rPr>
          <w:sz w:val="22"/>
          <w:szCs w:val="22"/>
          <w:lang w:val="en-US"/>
        </w:rPr>
        <w:t xml:space="preserve">The following section explores the current supply of social housing in Geelong including the location and ownership of social housing and potential areas which might respond to future social housing needs.  </w:t>
      </w:r>
    </w:p>
    <w:p w14:paraId="41FB4A2F" w14:textId="77777777" w:rsidR="00B764FC" w:rsidRDefault="00B764FC" w:rsidP="00077040">
      <w:pPr>
        <w:pStyle w:val="Heading1"/>
        <w:numPr>
          <w:ilvl w:val="0"/>
          <w:numId w:val="14"/>
        </w:numPr>
      </w:pPr>
      <w:r>
        <w:br w:type="column"/>
      </w:r>
      <w:bookmarkStart w:id="110" w:name="_Toc17387336"/>
      <w:bookmarkStart w:id="111" w:name="_Toc17477438"/>
      <w:bookmarkStart w:id="112" w:name="_Toc22120175"/>
      <w:r w:rsidRPr="00311ACE">
        <w:rPr>
          <w:color w:val="002060"/>
        </w:rPr>
        <w:lastRenderedPageBreak/>
        <w:t xml:space="preserve">Supply of Social Housing in </w:t>
      </w:r>
      <w:bookmarkEnd w:id="110"/>
      <w:bookmarkEnd w:id="111"/>
      <w:r w:rsidRPr="00311ACE">
        <w:rPr>
          <w:color w:val="002060"/>
        </w:rPr>
        <w:t>Geelong</w:t>
      </w:r>
      <w:bookmarkEnd w:id="112"/>
      <w:r w:rsidRPr="00311ACE">
        <w:rPr>
          <w:color w:val="002060"/>
        </w:rPr>
        <w:t xml:space="preserve"> </w:t>
      </w:r>
    </w:p>
    <w:p w14:paraId="6059D61F" w14:textId="77777777" w:rsidR="00B764FC" w:rsidRPr="00311ACE" w:rsidRDefault="00B764FC">
      <w:pPr>
        <w:pStyle w:val="Heading2"/>
        <w:spacing w:before="240"/>
      </w:pPr>
      <w:bookmarkStart w:id="113" w:name="_Toc22120176"/>
      <w:r w:rsidRPr="00311ACE">
        <w:t>7.1</w:t>
      </w:r>
      <w:r w:rsidRPr="00311ACE">
        <w:tab/>
        <w:t>How much public housing is in Geelong?</w:t>
      </w:r>
      <w:bookmarkEnd w:id="113"/>
    </w:p>
    <w:p w14:paraId="7178566C" w14:textId="772874AC" w:rsidR="00B764FC" w:rsidRDefault="005E754B">
      <w:pPr>
        <w:spacing w:before="240" w:line="276" w:lineRule="auto"/>
        <w:jc w:val="both"/>
        <w:rPr>
          <w:sz w:val="22"/>
          <w:szCs w:val="22"/>
        </w:rPr>
      </w:pPr>
      <w:r>
        <w:rPr>
          <w:sz w:val="22"/>
          <w:szCs w:val="22"/>
        </w:rPr>
        <w:t>T</w:t>
      </w:r>
      <w:r w:rsidR="00B764FC">
        <w:rPr>
          <w:sz w:val="22"/>
          <w:szCs w:val="22"/>
        </w:rPr>
        <w:t>he current supply of social housing on Geelong is approximately 4,</w:t>
      </w:r>
      <w:r>
        <w:rPr>
          <w:sz w:val="22"/>
          <w:szCs w:val="22"/>
        </w:rPr>
        <w:t>3</w:t>
      </w:r>
      <w:r w:rsidR="00B764FC">
        <w:rPr>
          <w:sz w:val="22"/>
          <w:szCs w:val="22"/>
        </w:rPr>
        <w:t>00 dwellings, comprising 3,628 public housing dwellings</w:t>
      </w:r>
      <w:r>
        <w:rPr>
          <w:sz w:val="22"/>
          <w:szCs w:val="22"/>
        </w:rPr>
        <w:t xml:space="preserve"> owned by DHHS</w:t>
      </w:r>
      <w:r w:rsidR="00B764FC">
        <w:rPr>
          <w:sz w:val="22"/>
          <w:szCs w:val="22"/>
        </w:rPr>
        <w:t xml:space="preserve">, and approximately </w:t>
      </w:r>
      <w:r>
        <w:rPr>
          <w:sz w:val="22"/>
          <w:szCs w:val="22"/>
        </w:rPr>
        <w:t xml:space="preserve">665 properties owned by </w:t>
      </w:r>
      <w:r w:rsidR="00B764FC">
        <w:rPr>
          <w:sz w:val="22"/>
          <w:szCs w:val="22"/>
        </w:rPr>
        <w:t>community housing pro</w:t>
      </w:r>
      <w:r>
        <w:rPr>
          <w:sz w:val="22"/>
          <w:szCs w:val="22"/>
        </w:rPr>
        <w:t>viders</w:t>
      </w:r>
      <w:r w:rsidR="00B764FC">
        <w:rPr>
          <w:sz w:val="22"/>
          <w:szCs w:val="22"/>
        </w:rPr>
        <w:t>.</w:t>
      </w:r>
      <w:r w:rsidR="00B764FC">
        <w:rPr>
          <w:rStyle w:val="FootnoteReference"/>
          <w:sz w:val="22"/>
          <w:szCs w:val="22"/>
        </w:rPr>
        <w:footnoteReference w:id="13"/>
      </w:r>
      <w:r w:rsidR="00B764FC">
        <w:rPr>
          <w:sz w:val="22"/>
          <w:szCs w:val="22"/>
        </w:rPr>
        <w:t xml:space="preserve">  This stock level is somewhat higher than the 3,300 households identified as renting social housing in the most recent census (ABS 2016)</w:t>
      </w:r>
      <w:r w:rsidR="009B3A32">
        <w:rPr>
          <w:sz w:val="22"/>
          <w:szCs w:val="22"/>
        </w:rPr>
        <w:t>.</w:t>
      </w:r>
      <w:r w:rsidR="00B764FC">
        <w:rPr>
          <w:sz w:val="22"/>
          <w:szCs w:val="22"/>
        </w:rPr>
        <w:t xml:space="preserve"> </w:t>
      </w:r>
    </w:p>
    <w:p w14:paraId="30987468" w14:textId="77777777" w:rsidR="00B764FC" w:rsidRDefault="00B764FC">
      <w:pPr>
        <w:spacing w:line="276" w:lineRule="auto"/>
        <w:jc w:val="both"/>
        <w:rPr>
          <w:sz w:val="22"/>
          <w:szCs w:val="22"/>
        </w:rPr>
      </w:pPr>
    </w:p>
    <w:p w14:paraId="63B68755" w14:textId="77777777" w:rsidR="00B764FC" w:rsidRPr="00311ACE" w:rsidRDefault="00B764FC" w:rsidP="00311ACE">
      <w:pPr>
        <w:pStyle w:val="Heading2"/>
      </w:pPr>
      <w:bookmarkStart w:id="114" w:name="_Toc22120177"/>
      <w:r w:rsidRPr="00311ACE">
        <w:t>7.2</w:t>
      </w:r>
      <w:r w:rsidRPr="00311ACE">
        <w:tab/>
        <w:t>What type of housing stock is social housing?</w:t>
      </w:r>
      <w:bookmarkEnd w:id="114"/>
    </w:p>
    <w:p w14:paraId="6C72A1A4" w14:textId="77777777" w:rsidR="00B764FC" w:rsidRDefault="00B764FC">
      <w:pPr>
        <w:spacing w:before="240" w:after="240" w:line="276" w:lineRule="auto"/>
        <w:jc w:val="both"/>
        <w:rPr>
          <w:sz w:val="22"/>
          <w:szCs w:val="22"/>
        </w:rPr>
      </w:pPr>
      <w:r>
        <w:rPr>
          <w:sz w:val="22"/>
          <w:szCs w:val="22"/>
        </w:rPr>
        <w:t xml:space="preserve">The type of public housing dwellings currently available in Geelong is shown in Table 16.  Nearly half the dwellings are standalone houses (49%).  Medium density attached dwellings currently account for 38% of public housing.  There is a very limited supply of ‘movable units’ or ‘multiple unit’ dwellings. </w:t>
      </w:r>
    </w:p>
    <w:p w14:paraId="04B001A6" w14:textId="2FA314A0" w:rsidR="00B764FC" w:rsidRDefault="00B764FC">
      <w:pPr>
        <w:pStyle w:val="Caption"/>
        <w:rPr>
          <w:b/>
          <w:bCs/>
        </w:rPr>
      </w:pPr>
      <w:bookmarkStart w:id="115" w:name="_Ref17471541"/>
      <w:bookmarkStart w:id="116" w:name="_Toc22120051"/>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16</w:t>
      </w:r>
      <w:r w:rsidR="00FF5CA4">
        <w:rPr>
          <w:b/>
          <w:bCs/>
        </w:rPr>
        <w:fldChar w:fldCharType="end"/>
      </w:r>
      <w:bookmarkEnd w:id="115"/>
      <w:r>
        <w:rPr>
          <w:b/>
          <w:bCs/>
        </w:rPr>
        <w:t>: Public Housing in the Barwon Region, and Geelong LGA, 2017/18</w:t>
      </w:r>
      <w:bookmarkEnd w:id="116"/>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904"/>
        <w:gridCol w:w="603"/>
        <w:gridCol w:w="898"/>
        <w:gridCol w:w="1003"/>
        <w:gridCol w:w="1038"/>
        <w:gridCol w:w="621"/>
        <w:gridCol w:w="999"/>
        <w:gridCol w:w="974"/>
        <w:gridCol w:w="757"/>
        <w:gridCol w:w="708"/>
      </w:tblGrid>
      <w:tr w:rsidR="00B764FC" w14:paraId="7BDA9760" w14:textId="77777777" w:rsidTr="00311ACE">
        <w:tc>
          <w:tcPr>
            <w:tcW w:w="904" w:type="dxa"/>
            <w:tcBorders>
              <w:left w:val="nil"/>
              <w:right w:val="nil"/>
            </w:tcBorders>
            <w:shd w:val="clear" w:color="auto" w:fill="002060"/>
            <w:vAlign w:val="center"/>
          </w:tcPr>
          <w:p w14:paraId="6F3BF486" w14:textId="77777777" w:rsidR="00B764FC" w:rsidRDefault="00B764FC">
            <w:pPr>
              <w:rPr>
                <w:b/>
                <w:bCs/>
                <w:color w:val="FFFFFF"/>
                <w:sz w:val="20"/>
                <w:szCs w:val="20"/>
              </w:rPr>
            </w:pPr>
            <w:r>
              <w:rPr>
                <w:b/>
                <w:bCs/>
                <w:color w:val="FFFFFF"/>
                <w:sz w:val="20"/>
                <w:szCs w:val="20"/>
              </w:rPr>
              <w:t>Area</w:t>
            </w:r>
          </w:p>
        </w:tc>
        <w:tc>
          <w:tcPr>
            <w:tcW w:w="603" w:type="dxa"/>
            <w:tcBorders>
              <w:left w:val="nil"/>
              <w:right w:val="nil"/>
            </w:tcBorders>
            <w:shd w:val="clear" w:color="auto" w:fill="002060"/>
          </w:tcPr>
          <w:p w14:paraId="6A20B3DC" w14:textId="77777777" w:rsidR="00B764FC" w:rsidRDefault="00B764FC">
            <w:pPr>
              <w:jc w:val="center"/>
              <w:rPr>
                <w:rFonts w:ascii="Times New Roman" w:hAnsi="Times New Roman" w:cs="Times New Roman"/>
                <w:b/>
                <w:bCs/>
                <w:color w:val="FFFFFF"/>
                <w:sz w:val="20"/>
                <w:szCs w:val="20"/>
              </w:rPr>
            </w:pPr>
          </w:p>
        </w:tc>
        <w:tc>
          <w:tcPr>
            <w:tcW w:w="898" w:type="dxa"/>
            <w:tcBorders>
              <w:left w:val="nil"/>
              <w:right w:val="nil"/>
            </w:tcBorders>
            <w:shd w:val="clear" w:color="auto" w:fill="002060"/>
            <w:vAlign w:val="center"/>
          </w:tcPr>
          <w:p w14:paraId="03A0F071" w14:textId="77777777" w:rsidR="00B764FC" w:rsidRDefault="00B764FC">
            <w:pPr>
              <w:jc w:val="center"/>
              <w:rPr>
                <w:b/>
                <w:bCs/>
                <w:color w:val="FFFFFF"/>
                <w:sz w:val="20"/>
                <w:szCs w:val="20"/>
              </w:rPr>
            </w:pPr>
            <w:r>
              <w:rPr>
                <w:b/>
                <w:bCs/>
                <w:color w:val="FFFFFF"/>
                <w:sz w:val="20"/>
                <w:szCs w:val="20"/>
              </w:rPr>
              <w:t>Houses</w:t>
            </w:r>
          </w:p>
        </w:tc>
        <w:tc>
          <w:tcPr>
            <w:tcW w:w="1003" w:type="dxa"/>
            <w:tcBorders>
              <w:left w:val="nil"/>
              <w:right w:val="nil"/>
            </w:tcBorders>
            <w:shd w:val="clear" w:color="auto" w:fill="002060"/>
            <w:vAlign w:val="center"/>
          </w:tcPr>
          <w:p w14:paraId="5034D9A5" w14:textId="77777777" w:rsidR="00B764FC" w:rsidRDefault="00B764FC">
            <w:pPr>
              <w:jc w:val="center"/>
              <w:rPr>
                <w:b/>
                <w:bCs/>
                <w:color w:val="FFFFFF"/>
                <w:sz w:val="20"/>
                <w:szCs w:val="20"/>
              </w:rPr>
            </w:pPr>
            <w:r>
              <w:rPr>
                <w:b/>
                <w:bCs/>
                <w:color w:val="FFFFFF"/>
                <w:sz w:val="20"/>
                <w:szCs w:val="20"/>
              </w:rPr>
              <w:t>Medium density attached</w:t>
            </w:r>
          </w:p>
        </w:tc>
        <w:tc>
          <w:tcPr>
            <w:tcW w:w="1038" w:type="dxa"/>
            <w:tcBorders>
              <w:left w:val="nil"/>
              <w:right w:val="nil"/>
            </w:tcBorders>
            <w:shd w:val="clear" w:color="auto" w:fill="002060"/>
            <w:vAlign w:val="center"/>
          </w:tcPr>
          <w:p w14:paraId="168E6A6F" w14:textId="77777777" w:rsidR="00B764FC" w:rsidRDefault="00B764FC">
            <w:pPr>
              <w:jc w:val="center"/>
              <w:rPr>
                <w:b/>
                <w:bCs/>
                <w:color w:val="FFFFFF"/>
                <w:sz w:val="20"/>
                <w:szCs w:val="20"/>
              </w:rPr>
            </w:pPr>
            <w:r>
              <w:rPr>
                <w:b/>
                <w:bCs/>
                <w:color w:val="FFFFFF"/>
                <w:sz w:val="20"/>
                <w:szCs w:val="20"/>
              </w:rPr>
              <w:t>Medium density detached</w:t>
            </w:r>
          </w:p>
        </w:tc>
        <w:tc>
          <w:tcPr>
            <w:tcW w:w="621" w:type="dxa"/>
            <w:tcBorders>
              <w:left w:val="nil"/>
              <w:right w:val="nil"/>
            </w:tcBorders>
            <w:shd w:val="clear" w:color="auto" w:fill="002060"/>
            <w:vAlign w:val="center"/>
          </w:tcPr>
          <w:p w14:paraId="7095CF7B" w14:textId="77777777" w:rsidR="00B764FC" w:rsidRDefault="00B764FC">
            <w:pPr>
              <w:jc w:val="center"/>
              <w:rPr>
                <w:b/>
                <w:bCs/>
                <w:color w:val="FFFFFF"/>
                <w:sz w:val="20"/>
                <w:szCs w:val="20"/>
              </w:rPr>
            </w:pPr>
            <w:r>
              <w:rPr>
                <w:b/>
                <w:bCs/>
                <w:color w:val="FFFFFF"/>
                <w:sz w:val="20"/>
                <w:szCs w:val="20"/>
              </w:rPr>
              <w:t>Low rise flat</w:t>
            </w:r>
          </w:p>
        </w:tc>
        <w:tc>
          <w:tcPr>
            <w:tcW w:w="999" w:type="dxa"/>
            <w:tcBorders>
              <w:left w:val="nil"/>
              <w:right w:val="nil"/>
            </w:tcBorders>
            <w:shd w:val="clear" w:color="auto" w:fill="002060"/>
            <w:vAlign w:val="center"/>
          </w:tcPr>
          <w:p w14:paraId="3E459380" w14:textId="77777777" w:rsidR="00B764FC" w:rsidRDefault="00B764FC">
            <w:pPr>
              <w:jc w:val="center"/>
              <w:rPr>
                <w:b/>
                <w:bCs/>
                <w:color w:val="FFFFFF"/>
                <w:sz w:val="20"/>
                <w:szCs w:val="20"/>
              </w:rPr>
            </w:pPr>
            <w:r>
              <w:rPr>
                <w:b/>
                <w:bCs/>
                <w:color w:val="FFFFFF"/>
                <w:sz w:val="20"/>
                <w:szCs w:val="20"/>
              </w:rPr>
              <w:t>Movable unit</w:t>
            </w:r>
          </w:p>
        </w:tc>
        <w:tc>
          <w:tcPr>
            <w:tcW w:w="974" w:type="dxa"/>
            <w:tcBorders>
              <w:left w:val="nil"/>
              <w:right w:val="nil"/>
            </w:tcBorders>
            <w:shd w:val="clear" w:color="auto" w:fill="002060"/>
            <w:vAlign w:val="center"/>
          </w:tcPr>
          <w:p w14:paraId="0E386C0C" w14:textId="77777777" w:rsidR="00B764FC" w:rsidRDefault="00B764FC">
            <w:pPr>
              <w:jc w:val="center"/>
              <w:rPr>
                <w:b/>
                <w:bCs/>
                <w:color w:val="FFFFFF"/>
                <w:sz w:val="20"/>
                <w:szCs w:val="20"/>
              </w:rPr>
            </w:pPr>
            <w:r>
              <w:rPr>
                <w:b/>
                <w:bCs/>
                <w:color w:val="FFFFFF"/>
                <w:sz w:val="20"/>
                <w:szCs w:val="20"/>
              </w:rPr>
              <w:t>Multiple unit facility</w:t>
            </w:r>
          </w:p>
        </w:tc>
        <w:tc>
          <w:tcPr>
            <w:tcW w:w="757" w:type="dxa"/>
            <w:tcBorders>
              <w:left w:val="nil"/>
              <w:right w:val="nil"/>
            </w:tcBorders>
            <w:shd w:val="clear" w:color="auto" w:fill="002060"/>
            <w:vAlign w:val="center"/>
          </w:tcPr>
          <w:p w14:paraId="2595B3F8" w14:textId="77777777" w:rsidR="00B764FC" w:rsidRDefault="00B764FC">
            <w:pPr>
              <w:jc w:val="center"/>
              <w:rPr>
                <w:b/>
                <w:bCs/>
                <w:color w:val="FFFFFF"/>
                <w:sz w:val="20"/>
                <w:szCs w:val="20"/>
              </w:rPr>
            </w:pPr>
            <w:r>
              <w:rPr>
                <w:b/>
                <w:bCs/>
                <w:color w:val="FFFFFF"/>
                <w:sz w:val="20"/>
                <w:szCs w:val="20"/>
              </w:rPr>
              <w:t>Other</w:t>
            </w:r>
          </w:p>
        </w:tc>
        <w:tc>
          <w:tcPr>
            <w:tcW w:w="708" w:type="dxa"/>
            <w:tcBorders>
              <w:left w:val="nil"/>
              <w:right w:val="nil"/>
            </w:tcBorders>
            <w:shd w:val="clear" w:color="auto" w:fill="002060"/>
            <w:vAlign w:val="center"/>
          </w:tcPr>
          <w:p w14:paraId="7B25FFFD" w14:textId="77777777" w:rsidR="00B764FC" w:rsidRDefault="00B764FC">
            <w:pPr>
              <w:jc w:val="center"/>
              <w:rPr>
                <w:b/>
                <w:bCs/>
                <w:color w:val="FFFFFF"/>
                <w:sz w:val="20"/>
                <w:szCs w:val="20"/>
              </w:rPr>
            </w:pPr>
            <w:r>
              <w:rPr>
                <w:b/>
                <w:bCs/>
                <w:color w:val="FFFFFF"/>
                <w:sz w:val="20"/>
                <w:szCs w:val="20"/>
              </w:rPr>
              <w:t>Total</w:t>
            </w:r>
          </w:p>
        </w:tc>
      </w:tr>
      <w:tr w:rsidR="00B764FC" w14:paraId="7365E0A3" w14:textId="77777777">
        <w:trPr>
          <w:trHeight w:val="340"/>
        </w:trPr>
        <w:tc>
          <w:tcPr>
            <w:tcW w:w="904" w:type="dxa"/>
            <w:tcBorders>
              <w:left w:val="nil"/>
              <w:right w:val="nil"/>
            </w:tcBorders>
          </w:tcPr>
          <w:p w14:paraId="0BEE317E" w14:textId="77777777" w:rsidR="00B764FC" w:rsidRDefault="00B764FC">
            <w:pPr>
              <w:rPr>
                <w:b/>
                <w:bCs/>
                <w:sz w:val="20"/>
                <w:szCs w:val="20"/>
              </w:rPr>
            </w:pPr>
            <w:r>
              <w:rPr>
                <w:b/>
                <w:bCs/>
                <w:sz w:val="20"/>
                <w:szCs w:val="20"/>
              </w:rPr>
              <w:t>Barwon</w:t>
            </w:r>
          </w:p>
        </w:tc>
        <w:tc>
          <w:tcPr>
            <w:tcW w:w="603" w:type="dxa"/>
            <w:tcBorders>
              <w:left w:val="nil"/>
              <w:right w:val="nil"/>
            </w:tcBorders>
          </w:tcPr>
          <w:p w14:paraId="4BED6CBD" w14:textId="77777777" w:rsidR="00B764FC" w:rsidRDefault="00B764FC">
            <w:pPr>
              <w:jc w:val="center"/>
              <w:rPr>
                <w:rFonts w:ascii="Times New Roman" w:hAnsi="Times New Roman" w:cs="Times New Roman"/>
                <w:sz w:val="20"/>
                <w:szCs w:val="20"/>
              </w:rPr>
            </w:pPr>
          </w:p>
        </w:tc>
        <w:tc>
          <w:tcPr>
            <w:tcW w:w="898" w:type="dxa"/>
            <w:tcBorders>
              <w:left w:val="nil"/>
              <w:right w:val="nil"/>
            </w:tcBorders>
            <w:vAlign w:val="center"/>
          </w:tcPr>
          <w:p w14:paraId="6E7170D0" w14:textId="77777777" w:rsidR="00B764FC" w:rsidRDefault="00B764FC">
            <w:pPr>
              <w:jc w:val="center"/>
              <w:rPr>
                <w:sz w:val="20"/>
                <w:szCs w:val="20"/>
              </w:rPr>
            </w:pPr>
            <w:r>
              <w:rPr>
                <w:sz w:val="20"/>
                <w:szCs w:val="20"/>
              </w:rPr>
              <w:t>2,033</w:t>
            </w:r>
          </w:p>
        </w:tc>
        <w:tc>
          <w:tcPr>
            <w:tcW w:w="1003" w:type="dxa"/>
            <w:tcBorders>
              <w:left w:val="nil"/>
              <w:right w:val="nil"/>
            </w:tcBorders>
            <w:vAlign w:val="center"/>
          </w:tcPr>
          <w:p w14:paraId="1101D9D2" w14:textId="77777777" w:rsidR="00B764FC" w:rsidRDefault="00B764FC">
            <w:pPr>
              <w:jc w:val="center"/>
              <w:rPr>
                <w:sz w:val="20"/>
                <w:szCs w:val="20"/>
              </w:rPr>
            </w:pPr>
            <w:r>
              <w:rPr>
                <w:sz w:val="20"/>
                <w:szCs w:val="20"/>
              </w:rPr>
              <w:t>1,533</w:t>
            </w:r>
          </w:p>
        </w:tc>
        <w:tc>
          <w:tcPr>
            <w:tcW w:w="1038" w:type="dxa"/>
            <w:tcBorders>
              <w:left w:val="nil"/>
              <w:right w:val="nil"/>
            </w:tcBorders>
            <w:vAlign w:val="center"/>
          </w:tcPr>
          <w:p w14:paraId="0F0E0351" w14:textId="77777777" w:rsidR="00B764FC" w:rsidRDefault="00B764FC">
            <w:pPr>
              <w:jc w:val="center"/>
              <w:rPr>
                <w:sz w:val="20"/>
                <w:szCs w:val="20"/>
              </w:rPr>
            </w:pPr>
            <w:r>
              <w:rPr>
                <w:sz w:val="20"/>
                <w:szCs w:val="20"/>
              </w:rPr>
              <w:t>231</w:t>
            </w:r>
          </w:p>
        </w:tc>
        <w:tc>
          <w:tcPr>
            <w:tcW w:w="621" w:type="dxa"/>
            <w:tcBorders>
              <w:left w:val="nil"/>
              <w:right w:val="nil"/>
            </w:tcBorders>
            <w:vAlign w:val="center"/>
          </w:tcPr>
          <w:p w14:paraId="27A1EC7B" w14:textId="77777777" w:rsidR="00B764FC" w:rsidRDefault="00B764FC">
            <w:pPr>
              <w:jc w:val="center"/>
              <w:rPr>
                <w:sz w:val="20"/>
                <w:szCs w:val="20"/>
              </w:rPr>
            </w:pPr>
            <w:r>
              <w:rPr>
                <w:sz w:val="20"/>
                <w:szCs w:val="20"/>
              </w:rPr>
              <w:t>97</w:t>
            </w:r>
          </w:p>
        </w:tc>
        <w:tc>
          <w:tcPr>
            <w:tcW w:w="999" w:type="dxa"/>
            <w:tcBorders>
              <w:left w:val="nil"/>
              <w:right w:val="nil"/>
            </w:tcBorders>
            <w:vAlign w:val="center"/>
          </w:tcPr>
          <w:p w14:paraId="09F9EB0D" w14:textId="77777777" w:rsidR="00B764FC" w:rsidRDefault="00B764FC">
            <w:pPr>
              <w:jc w:val="center"/>
              <w:rPr>
                <w:sz w:val="20"/>
                <w:szCs w:val="20"/>
              </w:rPr>
            </w:pPr>
            <w:r>
              <w:rPr>
                <w:sz w:val="20"/>
                <w:szCs w:val="20"/>
              </w:rPr>
              <w:t>65</w:t>
            </w:r>
          </w:p>
        </w:tc>
        <w:tc>
          <w:tcPr>
            <w:tcW w:w="974" w:type="dxa"/>
            <w:tcBorders>
              <w:left w:val="nil"/>
              <w:right w:val="nil"/>
            </w:tcBorders>
            <w:vAlign w:val="center"/>
          </w:tcPr>
          <w:p w14:paraId="53BB0652" w14:textId="77777777" w:rsidR="00B764FC" w:rsidRDefault="00B764FC">
            <w:pPr>
              <w:jc w:val="center"/>
              <w:rPr>
                <w:sz w:val="20"/>
                <w:szCs w:val="20"/>
              </w:rPr>
            </w:pPr>
            <w:r>
              <w:rPr>
                <w:sz w:val="20"/>
                <w:szCs w:val="20"/>
              </w:rPr>
              <w:t>14</w:t>
            </w:r>
          </w:p>
        </w:tc>
        <w:tc>
          <w:tcPr>
            <w:tcW w:w="757" w:type="dxa"/>
            <w:tcBorders>
              <w:left w:val="nil"/>
              <w:right w:val="nil"/>
            </w:tcBorders>
            <w:vAlign w:val="center"/>
          </w:tcPr>
          <w:p w14:paraId="48EE6542" w14:textId="77777777" w:rsidR="00B764FC" w:rsidRDefault="00B764FC">
            <w:pPr>
              <w:jc w:val="center"/>
              <w:rPr>
                <w:sz w:val="20"/>
                <w:szCs w:val="20"/>
              </w:rPr>
            </w:pPr>
            <w:r>
              <w:rPr>
                <w:sz w:val="20"/>
                <w:szCs w:val="20"/>
              </w:rPr>
              <w:t>51</w:t>
            </w:r>
          </w:p>
        </w:tc>
        <w:tc>
          <w:tcPr>
            <w:tcW w:w="708" w:type="dxa"/>
            <w:tcBorders>
              <w:left w:val="nil"/>
              <w:right w:val="nil"/>
            </w:tcBorders>
            <w:vAlign w:val="center"/>
          </w:tcPr>
          <w:p w14:paraId="7CAF7D46" w14:textId="77777777" w:rsidR="00B764FC" w:rsidRDefault="00B764FC">
            <w:pPr>
              <w:jc w:val="center"/>
              <w:rPr>
                <w:b/>
                <w:bCs/>
                <w:sz w:val="20"/>
                <w:szCs w:val="20"/>
              </w:rPr>
            </w:pPr>
            <w:r>
              <w:rPr>
                <w:b/>
                <w:bCs/>
                <w:sz w:val="20"/>
                <w:szCs w:val="20"/>
              </w:rPr>
              <w:t>4,024</w:t>
            </w:r>
          </w:p>
        </w:tc>
      </w:tr>
      <w:tr w:rsidR="00B764FC" w14:paraId="2383E474" w14:textId="77777777">
        <w:trPr>
          <w:cantSplit/>
          <w:trHeight w:val="340"/>
        </w:trPr>
        <w:tc>
          <w:tcPr>
            <w:tcW w:w="904" w:type="dxa"/>
            <w:vMerge w:val="restart"/>
            <w:tcBorders>
              <w:left w:val="nil"/>
              <w:right w:val="nil"/>
            </w:tcBorders>
            <w:shd w:val="clear" w:color="auto" w:fill="FFFFFF"/>
            <w:vAlign w:val="center"/>
          </w:tcPr>
          <w:p w14:paraId="2667B0F2" w14:textId="77777777" w:rsidR="00B764FC" w:rsidRDefault="00B764FC">
            <w:pPr>
              <w:rPr>
                <w:b/>
                <w:bCs/>
                <w:sz w:val="20"/>
                <w:szCs w:val="20"/>
              </w:rPr>
            </w:pPr>
            <w:r>
              <w:rPr>
                <w:b/>
                <w:bCs/>
                <w:sz w:val="20"/>
                <w:szCs w:val="20"/>
              </w:rPr>
              <w:t>Geelong</w:t>
            </w:r>
          </w:p>
        </w:tc>
        <w:tc>
          <w:tcPr>
            <w:tcW w:w="603" w:type="dxa"/>
            <w:tcBorders>
              <w:left w:val="nil"/>
              <w:right w:val="nil"/>
            </w:tcBorders>
            <w:shd w:val="clear" w:color="auto" w:fill="FFFFFF"/>
          </w:tcPr>
          <w:p w14:paraId="72FC04C2" w14:textId="77777777" w:rsidR="00B764FC" w:rsidRDefault="00B764FC">
            <w:pPr>
              <w:jc w:val="center"/>
              <w:rPr>
                <w:sz w:val="20"/>
                <w:szCs w:val="20"/>
              </w:rPr>
            </w:pPr>
            <w:r>
              <w:rPr>
                <w:sz w:val="20"/>
                <w:szCs w:val="20"/>
              </w:rPr>
              <w:t>No</w:t>
            </w:r>
          </w:p>
        </w:tc>
        <w:tc>
          <w:tcPr>
            <w:tcW w:w="898" w:type="dxa"/>
            <w:tcBorders>
              <w:left w:val="nil"/>
              <w:right w:val="nil"/>
            </w:tcBorders>
            <w:shd w:val="clear" w:color="auto" w:fill="FFFFFF"/>
            <w:vAlign w:val="center"/>
          </w:tcPr>
          <w:p w14:paraId="494F864E" w14:textId="77777777" w:rsidR="00B764FC" w:rsidRDefault="00B764FC">
            <w:pPr>
              <w:jc w:val="center"/>
              <w:rPr>
                <w:sz w:val="20"/>
                <w:szCs w:val="20"/>
              </w:rPr>
            </w:pPr>
            <w:r>
              <w:rPr>
                <w:sz w:val="20"/>
                <w:szCs w:val="20"/>
              </w:rPr>
              <w:t>1,794</w:t>
            </w:r>
          </w:p>
        </w:tc>
        <w:tc>
          <w:tcPr>
            <w:tcW w:w="1003" w:type="dxa"/>
            <w:tcBorders>
              <w:left w:val="nil"/>
              <w:right w:val="nil"/>
            </w:tcBorders>
            <w:shd w:val="clear" w:color="auto" w:fill="FFFFFF"/>
            <w:vAlign w:val="center"/>
          </w:tcPr>
          <w:p w14:paraId="0AE033AF" w14:textId="77777777" w:rsidR="00B764FC" w:rsidRDefault="00B764FC">
            <w:pPr>
              <w:jc w:val="center"/>
              <w:rPr>
                <w:sz w:val="20"/>
                <w:szCs w:val="20"/>
              </w:rPr>
            </w:pPr>
            <w:r>
              <w:rPr>
                <w:sz w:val="20"/>
                <w:szCs w:val="20"/>
              </w:rPr>
              <w:t>1,384</w:t>
            </w:r>
          </w:p>
        </w:tc>
        <w:tc>
          <w:tcPr>
            <w:tcW w:w="1038" w:type="dxa"/>
            <w:tcBorders>
              <w:left w:val="nil"/>
              <w:right w:val="nil"/>
            </w:tcBorders>
            <w:shd w:val="clear" w:color="auto" w:fill="FFFFFF"/>
            <w:vAlign w:val="center"/>
          </w:tcPr>
          <w:p w14:paraId="562B6FC7" w14:textId="77777777" w:rsidR="00B764FC" w:rsidRDefault="00B764FC">
            <w:pPr>
              <w:jc w:val="center"/>
              <w:rPr>
                <w:sz w:val="20"/>
                <w:szCs w:val="20"/>
              </w:rPr>
            </w:pPr>
            <w:r>
              <w:rPr>
                <w:sz w:val="20"/>
                <w:szCs w:val="20"/>
              </w:rPr>
              <w:t>231</w:t>
            </w:r>
          </w:p>
        </w:tc>
        <w:tc>
          <w:tcPr>
            <w:tcW w:w="621" w:type="dxa"/>
            <w:tcBorders>
              <w:left w:val="nil"/>
              <w:right w:val="nil"/>
            </w:tcBorders>
            <w:shd w:val="clear" w:color="auto" w:fill="FFFFFF"/>
            <w:vAlign w:val="center"/>
          </w:tcPr>
          <w:p w14:paraId="5B6C0FC4" w14:textId="77777777" w:rsidR="00B764FC" w:rsidRDefault="00B764FC">
            <w:pPr>
              <w:jc w:val="center"/>
              <w:rPr>
                <w:sz w:val="20"/>
                <w:szCs w:val="20"/>
              </w:rPr>
            </w:pPr>
            <w:r>
              <w:rPr>
                <w:sz w:val="20"/>
                <w:szCs w:val="20"/>
              </w:rPr>
              <w:t>97</w:t>
            </w:r>
          </w:p>
        </w:tc>
        <w:tc>
          <w:tcPr>
            <w:tcW w:w="999" w:type="dxa"/>
            <w:tcBorders>
              <w:left w:val="nil"/>
              <w:right w:val="nil"/>
            </w:tcBorders>
            <w:shd w:val="clear" w:color="auto" w:fill="FFFFFF"/>
            <w:vAlign w:val="center"/>
          </w:tcPr>
          <w:p w14:paraId="5BA5B050" w14:textId="77777777" w:rsidR="00B764FC" w:rsidRDefault="00B764FC">
            <w:pPr>
              <w:jc w:val="center"/>
              <w:rPr>
                <w:sz w:val="20"/>
                <w:szCs w:val="20"/>
              </w:rPr>
            </w:pPr>
            <w:r>
              <w:rPr>
                <w:sz w:val="20"/>
                <w:szCs w:val="20"/>
              </w:rPr>
              <w:t>59</w:t>
            </w:r>
          </w:p>
        </w:tc>
        <w:tc>
          <w:tcPr>
            <w:tcW w:w="974" w:type="dxa"/>
            <w:tcBorders>
              <w:left w:val="nil"/>
              <w:right w:val="nil"/>
            </w:tcBorders>
            <w:shd w:val="clear" w:color="auto" w:fill="FFFFFF"/>
            <w:vAlign w:val="center"/>
          </w:tcPr>
          <w:p w14:paraId="7E69CC4B" w14:textId="77777777" w:rsidR="00B764FC" w:rsidRDefault="00B764FC">
            <w:pPr>
              <w:jc w:val="center"/>
              <w:rPr>
                <w:sz w:val="20"/>
                <w:szCs w:val="20"/>
              </w:rPr>
            </w:pPr>
            <w:r>
              <w:rPr>
                <w:sz w:val="20"/>
                <w:szCs w:val="20"/>
              </w:rPr>
              <w:t>14</w:t>
            </w:r>
          </w:p>
        </w:tc>
        <w:tc>
          <w:tcPr>
            <w:tcW w:w="757" w:type="dxa"/>
            <w:tcBorders>
              <w:left w:val="nil"/>
              <w:right w:val="nil"/>
            </w:tcBorders>
            <w:shd w:val="clear" w:color="auto" w:fill="FFFFFF"/>
            <w:vAlign w:val="center"/>
          </w:tcPr>
          <w:p w14:paraId="3BCF5447" w14:textId="77777777" w:rsidR="00B764FC" w:rsidRDefault="00B764FC">
            <w:pPr>
              <w:jc w:val="center"/>
              <w:rPr>
                <w:sz w:val="20"/>
                <w:szCs w:val="20"/>
              </w:rPr>
            </w:pPr>
            <w:r>
              <w:rPr>
                <w:sz w:val="20"/>
                <w:szCs w:val="20"/>
              </w:rPr>
              <w:t>49</w:t>
            </w:r>
          </w:p>
        </w:tc>
        <w:tc>
          <w:tcPr>
            <w:tcW w:w="708" w:type="dxa"/>
            <w:tcBorders>
              <w:left w:val="nil"/>
              <w:right w:val="nil"/>
            </w:tcBorders>
            <w:shd w:val="clear" w:color="auto" w:fill="FFFFFF"/>
            <w:vAlign w:val="center"/>
          </w:tcPr>
          <w:p w14:paraId="1BE10B86" w14:textId="77777777" w:rsidR="00B764FC" w:rsidRDefault="00B764FC">
            <w:pPr>
              <w:jc w:val="center"/>
              <w:rPr>
                <w:b/>
                <w:bCs/>
                <w:sz w:val="20"/>
                <w:szCs w:val="20"/>
              </w:rPr>
            </w:pPr>
            <w:r>
              <w:rPr>
                <w:b/>
                <w:bCs/>
                <w:sz w:val="20"/>
                <w:szCs w:val="20"/>
              </w:rPr>
              <w:t>3,628</w:t>
            </w:r>
          </w:p>
        </w:tc>
      </w:tr>
      <w:tr w:rsidR="00B764FC" w14:paraId="357B4A17" w14:textId="77777777">
        <w:trPr>
          <w:cantSplit/>
          <w:trHeight w:val="340"/>
        </w:trPr>
        <w:tc>
          <w:tcPr>
            <w:tcW w:w="904" w:type="dxa"/>
            <w:vMerge/>
            <w:tcBorders>
              <w:left w:val="nil"/>
              <w:right w:val="nil"/>
            </w:tcBorders>
            <w:shd w:val="clear" w:color="auto" w:fill="FFFFFF"/>
          </w:tcPr>
          <w:p w14:paraId="15E008A4" w14:textId="77777777" w:rsidR="00B764FC" w:rsidRDefault="00B764FC">
            <w:pPr>
              <w:rPr>
                <w:sz w:val="20"/>
                <w:szCs w:val="20"/>
              </w:rPr>
            </w:pPr>
          </w:p>
        </w:tc>
        <w:tc>
          <w:tcPr>
            <w:tcW w:w="603" w:type="dxa"/>
            <w:tcBorders>
              <w:left w:val="nil"/>
              <w:right w:val="nil"/>
            </w:tcBorders>
            <w:shd w:val="clear" w:color="auto" w:fill="FFFFFF"/>
          </w:tcPr>
          <w:p w14:paraId="4EB82E87" w14:textId="77777777" w:rsidR="00B764FC" w:rsidRDefault="00B764FC">
            <w:pPr>
              <w:jc w:val="center"/>
              <w:rPr>
                <w:sz w:val="20"/>
                <w:szCs w:val="20"/>
              </w:rPr>
            </w:pPr>
            <w:r>
              <w:rPr>
                <w:sz w:val="20"/>
                <w:szCs w:val="20"/>
              </w:rPr>
              <w:t>%</w:t>
            </w:r>
          </w:p>
        </w:tc>
        <w:tc>
          <w:tcPr>
            <w:tcW w:w="898" w:type="dxa"/>
            <w:tcBorders>
              <w:left w:val="nil"/>
              <w:right w:val="nil"/>
            </w:tcBorders>
            <w:shd w:val="clear" w:color="auto" w:fill="FFFFFF"/>
            <w:vAlign w:val="center"/>
          </w:tcPr>
          <w:p w14:paraId="0ADDDEAB" w14:textId="77777777" w:rsidR="00B764FC" w:rsidRDefault="00B764FC">
            <w:pPr>
              <w:jc w:val="center"/>
              <w:rPr>
                <w:sz w:val="20"/>
                <w:szCs w:val="20"/>
              </w:rPr>
            </w:pPr>
            <w:r>
              <w:rPr>
                <w:sz w:val="20"/>
                <w:szCs w:val="20"/>
              </w:rPr>
              <w:t>49%</w:t>
            </w:r>
          </w:p>
        </w:tc>
        <w:tc>
          <w:tcPr>
            <w:tcW w:w="1003" w:type="dxa"/>
            <w:tcBorders>
              <w:left w:val="nil"/>
              <w:right w:val="nil"/>
            </w:tcBorders>
            <w:shd w:val="clear" w:color="auto" w:fill="FFFFFF"/>
            <w:vAlign w:val="center"/>
          </w:tcPr>
          <w:p w14:paraId="7CB3EFA1" w14:textId="77777777" w:rsidR="00B764FC" w:rsidRDefault="00B764FC">
            <w:pPr>
              <w:jc w:val="center"/>
              <w:rPr>
                <w:sz w:val="20"/>
                <w:szCs w:val="20"/>
              </w:rPr>
            </w:pPr>
            <w:r>
              <w:rPr>
                <w:sz w:val="20"/>
                <w:szCs w:val="20"/>
              </w:rPr>
              <w:t>38%</w:t>
            </w:r>
          </w:p>
        </w:tc>
        <w:tc>
          <w:tcPr>
            <w:tcW w:w="1038" w:type="dxa"/>
            <w:tcBorders>
              <w:left w:val="nil"/>
              <w:right w:val="nil"/>
            </w:tcBorders>
            <w:shd w:val="clear" w:color="auto" w:fill="FFFFFF"/>
            <w:vAlign w:val="center"/>
          </w:tcPr>
          <w:p w14:paraId="1DFCE575" w14:textId="77777777" w:rsidR="00B764FC" w:rsidRDefault="00B764FC">
            <w:pPr>
              <w:jc w:val="center"/>
              <w:rPr>
                <w:sz w:val="20"/>
                <w:szCs w:val="20"/>
              </w:rPr>
            </w:pPr>
            <w:r>
              <w:rPr>
                <w:sz w:val="20"/>
                <w:szCs w:val="20"/>
              </w:rPr>
              <w:t>6%</w:t>
            </w:r>
          </w:p>
        </w:tc>
        <w:tc>
          <w:tcPr>
            <w:tcW w:w="621" w:type="dxa"/>
            <w:tcBorders>
              <w:left w:val="nil"/>
              <w:right w:val="nil"/>
            </w:tcBorders>
            <w:shd w:val="clear" w:color="auto" w:fill="FFFFFF"/>
            <w:vAlign w:val="center"/>
          </w:tcPr>
          <w:p w14:paraId="09FB77A0" w14:textId="77777777" w:rsidR="00B764FC" w:rsidRDefault="00B764FC">
            <w:pPr>
              <w:jc w:val="center"/>
              <w:rPr>
                <w:sz w:val="20"/>
                <w:szCs w:val="20"/>
              </w:rPr>
            </w:pPr>
            <w:r>
              <w:rPr>
                <w:sz w:val="20"/>
                <w:szCs w:val="20"/>
              </w:rPr>
              <w:t>3%</w:t>
            </w:r>
          </w:p>
        </w:tc>
        <w:tc>
          <w:tcPr>
            <w:tcW w:w="999" w:type="dxa"/>
            <w:tcBorders>
              <w:left w:val="nil"/>
              <w:right w:val="nil"/>
            </w:tcBorders>
            <w:shd w:val="clear" w:color="auto" w:fill="FFFFFF"/>
            <w:vAlign w:val="center"/>
          </w:tcPr>
          <w:p w14:paraId="0F28D87F" w14:textId="77777777" w:rsidR="00B764FC" w:rsidRDefault="00B764FC">
            <w:pPr>
              <w:jc w:val="center"/>
              <w:rPr>
                <w:sz w:val="20"/>
                <w:szCs w:val="20"/>
              </w:rPr>
            </w:pPr>
            <w:r>
              <w:rPr>
                <w:sz w:val="20"/>
                <w:szCs w:val="20"/>
              </w:rPr>
              <w:t>2%</w:t>
            </w:r>
          </w:p>
        </w:tc>
        <w:tc>
          <w:tcPr>
            <w:tcW w:w="974" w:type="dxa"/>
            <w:tcBorders>
              <w:left w:val="nil"/>
              <w:right w:val="nil"/>
            </w:tcBorders>
            <w:shd w:val="clear" w:color="auto" w:fill="FFFFFF"/>
            <w:vAlign w:val="center"/>
          </w:tcPr>
          <w:p w14:paraId="2D06296C" w14:textId="77777777" w:rsidR="00B764FC" w:rsidRDefault="00B764FC">
            <w:pPr>
              <w:jc w:val="center"/>
              <w:rPr>
                <w:sz w:val="20"/>
                <w:szCs w:val="20"/>
              </w:rPr>
            </w:pPr>
            <w:r>
              <w:rPr>
                <w:sz w:val="20"/>
                <w:szCs w:val="20"/>
              </w:rPr>
              <w:t>0%</w:t>
            </w:r>
          </w:p>
        </w:tc>
        <w:tc>
          <w:tcPr>
            <w:tcW w:w="757" w:type="dxa"/>
            <w:tcBorders>
              <w:left w:val="nil"/>
              <w:right w:val="nil"/>
            </w:tcBorders>
            <w:shd w:val="clear" w:color="auto" w:fill="FFFFFF"/>
            <w:vAlign w:val="center"/>
          </w:tcPr>
          <w:p w14:paraId="606FF14B" w14:textId="77777777" w:rsidR="00B764FC" w:rsidRDefault="00B764FC">
            <w:pPr>
              <w:jc w:val="center"/>
              <w:rPr>
                <w:sz w:val="20"/>
                <w:szCs w:val="20"/>
              </w:rPr>
            </w:pPr>
            <w:r>
              <w:rPr>
                <w:sz w:val="20"/>
                <w:szCs w:val="20"/>
              </w:rPr>
              <w:t>1%</w:t>
            </w:r>
          </w:p>
        </w:tc>
        <w:tc>
          <w:tcPr>
            <w:tcW w:w="708" w:type="dxa"/>
            <w:tcBorders>
              <w:left w:val="nil"/>
              <w:right w:val="nil"/>
            </w:tcBorders>
            <w:shd w:val="clear" w:color="auto" w:fill="FFFFFF"/>
            <w:vAlign w:val="center"/>
          </w:tcPr>
          <w:p w14:paraId="4188BB03" w14:textId="77777777" w:rsidR="00B764FC" w:rsidRDefault="00B764FC">
            <w:pPr>
              <w:jc w:val="center"/>
              <w:rPr>
                <w:b/>
                <w:bCs/>
                <w:sz w:val="20"/>
                <w:szCs w:val="20"/>
              </w:rPr>
            </w:pPr>
            <w:r>
              <w:rPr>
                <w:b/>
                <w:bCs/>
                <w:sz w:val="20"/>
                <w:szCs w:val="20"/>
              </w:rPr>
              <w:t>100%</w:t>
            </w:r>
          </w:p>
        </w:tc>
      </w:tr>
    </w:tbl>
    <w:p w14:paraId="55D632B0" w14:textId="77777777" w:rsidR="00B764FC" w:rsidRDefault="00B764FC">
      <w:pPr>
        <w:pStyle w:val="TF"/>
      </w:pPr>
      <w:r>
        <w:rPr>
          <w:i/>
          <w:iCs/>
        </w:rPr>
        <w:t xml:space="preserve"> Source</w:t>
      </w:r>
      <w:r>
        <w:t>:</w:t>
      </w:r>
      <w:r>
        <w:tab/>
        <w:t>DHHS Housing Assistance Additional Service Delivery Data, 2017/18</w:t>
      </w:r>
    </w:p>
    <w:p w14:paraId="15637E14" w14:textId="77777777" w:rsidR="00B764FC" w:rsidRDefault="00B764FC">
      <w:pPr>
        <w:spacing w:before="240" w:line="276" w:lineRule="auto"/>
        <w:jc w:val="both"/>
        <w:rPr>
          <w:sz w:val="22"/>
          <w:szCs w:val="22"/>
        </w:rPr>
      </w:pPr>
      <w:r>
        <w:rPr>
          <w:sz w:val="22"/>
          <w:szCs w:val="22"/>
        </w:rPr>
        <w:t>The majority of social housing dwellings are currently 2- or 3-bedroom dwellings, as shown in Figure 14.</w:t>
      </w:r>
    </w:p>
    <w:p w14:paraId="24E88D93" w14:textId="77777777" w:rsidR="00B764FC" w:rsidRDefault="00A92396">
      <w:r>
        <w:rPr>
          <w:noProof/>
          <w:lang w:eastAsia="en-AU"/>
        </w:rPr>
        <w:drawing>
          <wp:anchor distT="0" distB="0" distL="114300" distR="114300" simplePos="0" relativeHeight="251662848" behindDoc="0" locked="0" layoutInCell="0" allowOverlap="1" wp14:anchorId="4E74467C" wp14:editId="5DC0F2EA">
            <wp:simplePos x="0" y="0"/>
            <wp:positionH relativeFrom="margin">
              <wp:posOffset>480695</wp:posOffset>
            </wp:positionH>
            <wp:positionV relativeFrom="paragraph">
              <wp:posOffset>99060</wp:posOffset>
            </wp:positionV>
            <wp:extent cx="3829050" cy="1830705"/>
            <wp:effectExtent l="19050" t="0" r="0" b="0"/>
            <wp:wrapNone/>
            <wp:docPr id="2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srcRect/>
                    <a:stretch>
                      <a:fillRect/>
                    </a:stretch>
                  </pic:blipFill>
                  <pic:spPr bwMode="auto">
                    <a:xfrm>
                      <a:off x="0" y="0"/>
                      <a:ext cx="3829050" cy="1830705"/>
                    </a:xfrm>
                    <a:prstGeom prst="rect">
                      <a:avLst/>
                    </a:prstGeom>
                    <a:noFill/>
                  </pic:spPr>
                </pic:pic>
              </a:graphicData>
            </a:graphic>
          </wp:anchor>
        </w:drawing>
      </w:r>
      <w:r w:rsidR="00B764FC">
        <w:rPr>
          <w:noProof/>
        </w:rPr>
        <w:t>001</w:t>
      </w:r>
    </w:p>
    <w:p w14:paraId="088BFEBF" w14:textId="77777777" w:rsidR="00B764FC" w:rsidRDefault="00B764FC"/>
    <w:p w14:paraId="7DB89DA8" w14:textId="77777777" w:rsidR="00B764FC" w:rsidRDefault="00B764FC"/>
    <w:p w14:paraId="2E851FAE" w14:textId="77777777" w:rsidR="00B764FC" w:rsidRDefault="00B764FC"/>
    <w:p w14:paraId="441D348C" w14:textId="77777777" w:rsidR="00B764FC" w:rsidRDefault="00B764FC"/>
    <w:p w14:paraId="2F75ACA3" w14:textId="77777777" w:rsidR="00B764FC" w:rsidRDefault="00B764FC"/>
    <w:p w14:paraId="506CB185" w14:textId="77777777" w:rsidR="00B764FC" w:rsidRDefault="00B764FC"/>
    <w:p w14:paraId="74E32004" w14:textId="77777777" w:rsidR="00B764FC" w:rsidRDefault="00B764FC"/>
    <w:p w14:paraId="48503E73" w14:textId="77777777" w:rsidR="00B764FC" w:rsidRDefault="00B764FC"/>
    <w:p w14:paraId="4978AB80" w14:textId="77777777" w:rsidR="00B764FC" w:rsidRDefault="00B764FC"/>
    <w:p w14:paraId="355832A7" w14:textId="77777777" w:rsidR="00B764FC" w:rsidRDefault="00B764FC"/>
    <w:p w14:paraId="139C12C1" w14:textId="09DC461A" w:rsidR="00B764FC" w:rsidRDefault="00B764FC">
      <w:pPr>
        <w:pStyle w:val="Caption"/>
        <w:rPr>
          <w:b/>
          <w:bCs/>
        </w:rPr>
      </w:pPr>
      <w:bookmarkStart w:id="117" w:name="_Toc22120100"/>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13</w:t>
      </w:r>
      <w:r w:rsidR="00FF5CA4">
        <w:rPr>
          <w:b/>
          <w:bCs/>
        </w:rPr>
        <w:fldChar w:fldCharType="end"/>
      </w:r>
      <w:r>
        <w:rPr>
          <w:b/>
          <w:bCs/>
        </w:rPr>
        <w:t>: Supply of social housing in Geelong, number of bedrooms, 2017/18</w:t>
      </w:r>
      <w:bookmarkEnd w:id="117"/>
    </w:p>
    <w:p w14:paraId="658820AC" w14:textId="77777777" w:rsidR="00B764FC" w:rsidRDefault="00B764FC">
      <w:pPr>
        <w:pStyle w:val="TF"/>
      </w:pPr>
      <w:r>
        <w:rPr>
          <w:i/>
          <w:iCs/>
          <w:sz w:val="20"/>
          <w:szCs w:val="20"/>
        </w:rPr>
        <w:t>Source</w:t>
      </w:r>
      <w:r>
        <w:t>: Department of Treasury and Finance 2018, DHHS Housing Assistance Additional Service Delivery Data, 2017/18</w:t>
      </w:r>
    </w:p>
    <w:p w14:paraId="4377B1AF" w14:textId="77777777" w:rsidR="009B3A32" w:rsidRDefault="009B3A32">
      <w:pPr>
        <w:pStyle w:val="Heading2"/>
      </w:pPr>
      <w:bookmarkStart w:id="118" w:name="_Toc22120178"/>
    </w:p>
    <w:p w14:paraId="29D61F0B" w14:textId="77777777" w:rsidR="009B3A32" w:rsidRDefault="009B3A32">
      <w:pPr>
        <w:pStyle w:val="Heading2"/>
      </w:pPr>
    </w:p>
    <w:p w14:paraId="325A46EB" w14:textId="61E85A1E" w:rsidR="00B764FC" w:rsidRDefault="00B764FC">
      <w:pPr>
        <w:pStyle w:val="Heading2"/>
      </w:pPr>
      <w:r>
        <w:lastRenderedPageBreak/>
        <w:t>7.3</w:t>
      </w:r>
      <w:r>
        <w:tab/>
        <w:t>Where is social housing located?</w:t>
      </w:r>
      <w:bookmarkEnd w:id="118"/>
    </w:p>
    <w:p w14:paraId="4C5F7671" w14:textId="77777777" w:rsidR="00B764FC" w:rsidRDefault="00B764FC">
      <w:pPr>
        <w:spacing w:before="240" w:line="276" w:lineRule="auto"/>
        <w:jc w:val="both"/>
        <w:rPr>
          <w:sz w:val="22"/>
          <w:szCs w:val="22"/>
        </w:rPr>
      </w:pPr>
      <w:r>
        <w:rPr>
          <w:sz w:val="22"/>
          <w:szCs w:val="22"/>
        </w:rPr>
        <w:t xml:space="preserve">Social housing is </w:t>
      </w:r>
      <w:r>
        <w:rPr>
          <w:b/>
          <w:bCs/>
          <w:sz w:val="22"/>
          <w:szCs w:val="22"/>
        </w:rPr>
        <w:t>unevenly distributed</w:t>
      </w:r>
      <w:r>
        <w:rPr>
          <w:sz w:val="22"/>
          <w:szCs w:val="22"/>
        </w:rPr>
        <w:t xml:space="preserve"> across the municipality. </w:t>
      </w:r>
    </w:p>
    <w:p w14:paraId="054FBB6D" w14:textId="77777777" w:rsidR="00B764FC" w:rsidRDefault="00B764FC"/>
    <w:p w14:paraId="5ED5E710" w14:textId="77777777" w:rsidR="00B764FC" w:rsidRDefault="00A92396">
      <w:r>
        <w:rPr>
          <w:noProof/>
          <w:lang w:eastAsia="en-AU"/>
        </w:rPr>
        <w:drawing>
          <wp:anchor distT="0" distB="425" distL="114300" distR="114300" simplePos="0" relativeHeight="251663872" behindDoc="0" locked="0" layoutInCell="0" allowOverlap="1" wp14:anchorId="4E33DC1D" wp14:editId="36902DF6">
            <wp:simplePos x="0" y="0"/>
            <wp:positionH relativeFrom="margin">
              <wp:posOffset>88265</wp:posOffset>
            </wp:positionH>
            <wp:positionV relativeFrom="paragraph">
              <wp:posOffset>15240</wp:posOffset>
            </wp:positionV>
            <wp:extent cx="5029200" cy="4516120"/>
            <wp:effectExtent l="19050" t="0" r="0" b="0"/>
            <wp:wrapNone/>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srcRect/>
                    <a:stretch>
                      <a:fillRect/>
                    </a:stretch>
                  </pic:blipFill>
                  <pic:spPr bwMode="auto">
                    <a:xfrm>
                      <a:off x="0" y="0"/>
                      <a:ext cx="5029200" cy="4516120"/>
                    </a:xfrm>
                    <a:prstGeom prst="rect">
                      <a:avLst/>
                    </a:prstGeom>
                    <a:noFill/>
                  </pic:spPr>
                </pic:pic>
              </a:graphicData>
            </a:graphic>
          </wp:anchor>
        </w:drawing>
      </w:r>
    </w:p>
    <w:p w14:paraId="4F0E3FEE" w14:textId="77777777" w:rsidR="00B764FC" w:rsidRDefault="00B764FC"/>
    <w:p w14:paraId="70B7759C" w14:textId="77777777" w:rsidR="00B764FC" w:rsidRDefault="00B764FC"/>
    <w:p w14:paraId="4927CDF1" w14:textId="77777777" w:rsidR="00B764FC" w:rsidRDefault="00B764FC"/>
    <w:p w14:paraId="17148286" w14:textId="77777777" w:rsidR="00B764FC" w:rsidRDefault="00B764FC"/>
    <w:p w14:paraId="08E01EB5" w14:textId="77777777" w:rsidR="00B764FC" w:rsidRDefault="00B764FC"/>
    <w:p w14:paraId="1906B8EF" w14:textId="77777777" w:rsidR="00B764FC" w:rsidRDefault="00B764FC"/>
    <w:p w14:paraId="31F15EA0" w14:textId="77777777" w:rsidR="00B764FC" w:rsidRDefault="00B764FC"/>
    <w:p w14:paraId="13C7E3A3" w14:textId="77777777" w:rsidR="00B764FC" w:rsidRDefault="00B764FC"/>
    <w:p w14:paraId="7674B0F0" w14:textId="77777777" w:rsidR="00B764FC" w:rsidRDefault="00B764FC"/>
    <w:p w14:paraId="75B4E763" w14:textId="77777777" w:rsidR="00B764FC" w:rsidRDefault="00B764FC"/>
    <w:p w14:paraId="381DB913" w14:textId="77777777" w:rsidR="00B764FC" w:rsidRDefault="00B764FC"/>
    <w:p w14:paraId="6751EE55" w14:textId="77777777" w:rsidR="00B764FC" w:rsidRDefault="00B764FC"/>
    <w:p w14:paraId="4D312A50" w14:textId="77777777" w:rsidR="00B764FC" w:rsidRDefault="00B764FC"/>
    <w:p w14:paraId="72312D6E" w14:textId="27A365A2" w:rsidR="00B764FC" w:rsidRDefault="003F5F98">
      <w:pPr>
        <w:pStyle w:val="Caption"/>
      </w:pPr>
      <w:r>
        <w:rPr>
          <w:noProof/>
          <w:lang w:eastAsia="en-AU"/>
        </w:rPr>
        <mc:AlternateContent>
          <mc:Choice Requires="wps">
            <w:drawing>
              <wp:anchor distT="0" distB="0" distL="114300" distR="114300" simplePos="0" relativeHeight="251665920" behindDoc="0" locked="0" layoutInCell="1" allowOverlap="1" wp14:anchorId="427EB704" wp14:editId="35136CB7">
                <wp:simplePos x="0" y="0"/>
                <wp:positionH relativeFrom="column">
                  <wp:posOffset>795020</wp:posOffset>
                </wp:positionH>
                <wp:positionV relativeFrom="paragraph">
                  <wp:posOffset>38735</wp:posOffset>
                </wp:positionV>
                <wp:extent cx="45719" cy="95250"/>
                <wp:effectExtent l="0" t="0" r="12065" b="19050"/>
                <wp:wrapNone/>
                <wp:docPr id="28" name="Text Box 28"/>
                <wp:cNvGraphicFramePr/>
                <a:graphic xmlns:a="http://schemas.openxmlformats.org/drawingml/2006/main">
                  <a:graphicData uri="http://schemas.microsoft.com/office/word/2010/wordprocessingShape">
                    <wps:wsp>
                      <wps:cNvSpPr txBox="1"/>
                      <wps:spPr>
                        <a:xfrm>
                          <a:off x="0" y="0"/>
                          <a:ext cx="45719" cy="952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3D13DF" w14:textId="77777777" w:rsidR="00944200" w:rsidRDefault="009442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EB704" id="Text Box 28" o:spid="_x0000_s1029" type="#_x0000_t202" style="position:absolute;margin-left:62.6pt;margin-top:3.05pt;width:3.6pt;height:7.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" fillcolor="white [3212]" strokecolor="white [3212]" strokeweight=".5pt">
                <v:textbox>
                  <w:txbxContent>
                    <w:p w14:paraId="413D13DF" w14:textId="77777777" w:rsidR="00944200" w:rsidRDefault="00944200"/>
                  </w:txbxContent>
                </v:textbox>
              </v:shape>
            </w:pict>
          </mc:Fallback>
        </mc:AlternateContent>
      </w:r>
    </w:p>
    <w:p w14:paraId="63A8C427" w14:textId="77777777" w:rsidR="00B764FC" w:rsidRDefault="00B764FC">
      <w:pPr>
        <w:pStyle w:val="Caption"/>
      </w:pPr>
    </w:p>
    <w:p w14:paraId="5C79FB49" w14:textId="77777777" w:rsidR="00B764FC" w:rsidRDefault="00B764FC">
      <w:pPr>
        <w:pStyle w:val="Caption"/>
      </w:pPr>
    </w:p>
    <w:p w14:paraId="4EAA07AB" w14:textId="77777777" w:rsidR="00B764FC" w:rsidRDefault="00B764FC">
      <w:pPr>
        <w:pStyle w:val="Caption"/>
      </w:pPr>
    </w:p>
    <w:p w14:paraId="6BF51764" w14:textId="77777777" w:rsidR="00B764FC" w:rsidRDefault="00B764FC">
      <w:pPr>
        <w:pStyle w:val="Caption"/>
      </w:pPr>
    </w:p>
    <w:p w14:paraId="348F433A" w14:textId="77777777" w:rsidR="00B764FC" w:rsidRDefault="00B764FC">
      <w:pPr>
        <w:pStyle w:val="Caption"/>
      </w:pPr>
    </w:p>
    <w:p w14:paraId="7712D11F" w14:textId="77777777" w:rsidR="00B764FC" w:rsidRDefault="00B764FC">
      <w:pPr>
        <w:pStyle w:val="Caption"/>
      </w:pPr>
    </w:p>
    <w:p w14:paraId="27ED964A" w14:textId="6133B70A" w:rsidR="00B764FC" w:rsidRDefault="00B764FC">
      <w:pPr>
        <w:pStyle w:val="Caption"/>
        <w:rPr>
          <w:b/>
          <w:bCs/>
        </w:rPr>
      </w:pPr>
      <w:r>
        <w:rPr>
          <w:b/>
          <w:bCs/>
        </w:rPr>
        <w:t xml:space="preserve">   </w:t>
      </w:r>
      <w:bookmarkStart w:id="119" w:name="_Toc22120101"/>
      <w:r>
        <w:rPr>
          <w:b/>
          <w:bCs/>
        </w:rPr>
        <w:t xml:space="preserve">Figure </w:t>
      </w:r>
      <w:r w:rsidR="00FF5CA4">
        <w:rPr>
          <w:b/>
          <w:bCs/>
        </w:rPr>
        <w:fldChar w:fldCharType="begin"/>
      </w:r>
      <w:r>
        <w:rPr>
          <w:b/>
          <w:bCs/>
        </w:rPr>
        <w:instrText xml:space="preserve"> SEQ Figure \* ARABIC </w:instrText>
      </w:r>
      <w:r w:rsidR="00FF5CA4">
        <w:rPr>
          <w:b/>
          <w:bCs/>
        </w:rPr>
        <w:fldChar w:fldCharType="separate"/>
      </w:r>
      <w:r w:rsidR="00BB479E">
        <w:rPr>
          <w:b/>
          <w:bCs/>
          <w:noProof/>
        </w:rPr>
        <w:t>14</w:t>
      </w:r>
      <w:r w:rsidR="00FF5CA4">
        <w:rPr>
          <w:b/>
          <w:bCs/>
        </w:rPr>
        <w:fldChar w:fldCharType="end"/>
      </w:r>
      <w:r>
        <w:rPr>
          <w:b/>
          <w:bCs/>
        </w:rPr>
        <w:t>: Distribution of social housing, Geelong, 2016</w:t>
      </w:r>
      <w:bookmarkEnd w:id="119"/>
    </w:p>
    <w:p w14:paraId="60AB4A74" w14:textId="77777777" w:rsidR="00B764FC" w:rsidRDefault="00B764FC">
      <w:pPr>
        <w:pStyle w:val="TF"/>
      </w:pPr>
      <w:r>
        <w:rPr>
          <w:i/>
          <w:iCs/>
          <w:sz w:val="20"/>
          <w:szCs w:val="20"/>
        </w:rPr>
        <w:t xml:space="preserve">   Source</w:t>
      </w:r>
      <w:r>
        <w:t>:</w:t>
      </w:r>
      <w:r>
        <w:tab/>
        <w:t>ABS. 2016</w:t>
      </w:r>
    </w:p>
    <w:p w14:paraId="26543F79" w14:textId="77777777" w:rsidR="00B764FC" w:rsidRDefault="00B764FC">
      <w:pPr>
        <w:spacing w:line="276" w:lineRule="auto"/>
        <w:ind w:left="1134"/>
        <w:rPr>
          <w:b/>
          <w:bCs/>
        </w:rPr>
      </w:pPr>
    </w:p>
    <w:p w14:paraId="0913DE0D" w14:textId="77777777" w:rsidR="00B764FC" w:rsidRDefault="00B764FC">
      <w:pPr>
        <w:spacing w:after="240" w:line="276" w:lineRule="auto"/>
        <w:jc w:val="both"/>
        <w:rPr>
          <w:b/>
          <w:bCs/>
          <w:sz w:val="22"/>
          <w:szCs w:val="22"/>
        </w:rPr>
      </w:pPr>
      <w:r>
        <w:rPr>
          <w:b/>
          <w:bCs/>
          <w:sz w:val="22"/>
          <w:szCs w:val="22"/>
        </w:rPr>
        <w:t>In summary:</w:t>
      </w:r>
    </w:p>
    <w:p w14:paraId="5A3A4B13" w14:textId="3034A3FB" w:rsidR="00B764FC" w:rsidRDefault="00B764FC">
      <w:pPr>
        <w:spacing w:line="276" w:lineRule="auto"/>
        <w:ind w:left="567" w:hanging="425"/>
        <w:jc w:val="both"/>
        <w:rPr>
          <w:sz w:val="22"/>
          <w:szCs w:val="22"/>
        </w:rPr>
      </w:pPr>
      <w:r>
        <w:rPr>
          <w:sz w:val="22"/>
          <w:szCs w:val="22"/>
        </w:rPr>
        <w:t>-</w:t>
      </w:r>
      <w:r>
        <w:rPr>
          <w:sz w:val="22"/>
          <w:szCs w:val="22"/>
        </w:rPr>
        <w:tab/>
        <w:t>There is a significant concentration of social housing in two areas</w:t>
      </w:r>
      <w:r w:rsidR="003F5F98">
        <w:rPr>
          <w:sz w:val="22"/>
          <w:szCs w:val="22"/>
        </w:rPr>
        <w:t xml:space="preserve"> Corio and Norlane; and Newcomb</w:t>
      </w:r>
      <w:r>
        <w:rPr>
          <w:sz w:val="22"/>
          <w:szCs w:val="22"/>
        </w:rPr>
        <w:t>, South Geelong, St Albans Park and Whittington.</w:t>
      </w:r>
    </w:p>
    <w:p w14:paraId="095EF425"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There are relatively few social housing properties in Area 1 (which includes the Armstrong Creek growth area)</w:t>
      </w:r>
    </w:p>
    <w:p w14:paraId="1AC8D38F"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There are relatively few properties in Areas 12 (Hamlyn Heights), 14 (Lara), and 15 (Lovely Banks)</w:t>
      </w:r>
    </w:p>
    <w:p w14:paraId="2568DD8F"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There are relatively few properties (6%) on the Bellarine Peninsula (Areas 2, 3, 4, and 5).</w:t>
      </w:r>
    </w:p>
    <w:p w14:paraId="43086ACD" w14:textId="77777777" w:rsidR="00B764FC" w:rsidRDefault="00B764FC">
      <w:pPr>
        <w:tabs>
          <w:tab w:val="num" w:pos="1418"/>
        </w:tabs>
        <w:spacing w:before="60" w:line="276" w:lineRule="auto"/>
        <w:jc w:val="both"/>
        <w:rPr>
          <w:sz w:val="22"/>
          <w:szCs w:val="22"/>
        </w:rPr>
      </w:pPr>
    </w:p>
    <w:p w14:paraId="34F608A0" w14:textId="77777777" w:rsidR="00B764FC" w:rsidRDefault="00B764FC">
      <w:pPr>
        <w:tabs>
          <w:tab w:val="num" w:pos="1418"/>
        </w:tabs>
        <w:spacing w:before="60" w:line="276" w:lineRule="auto"/>
        <w:jc w:val="both"/>
        <w:rPr>
          <w:sz w:val="22"/>
          <w:szCs w:val="22"/>
        </w:rPr>
      </w:pPr>
    </w:p>
    <w:p w14:paraId="5DB5A6E8" w14:textId="77777777" w:rsidR="00B764FC" w:rsidRDefault="00B764FC">
      <w:pPr>
        <w:tabs>
          <w:tab w:val="num" w:pos="1418"/>
        </w:tabs>
        <w:spacing w:before="60" w:line="276" w:lineRule="auto"/>
        <w:jc w:val="both"/>
        <w:rPr>
          <w:sz w:val="22"/>
          <w:szCs w:val="22"/>
        </w:rPr>
      </w:pPr>
    </w:p>
    <w:p w14:paraId="1CD108BF" w14:textId="77777777" w:rsidR="00B764FC" w:rsidRDefault="00B764FC">
      <w:pPr>
        <w:tabs>
          <w:tab w:val="num" w:pos="1418"/>
        </w:tabs>
        <w:spacing w:before="60" w:line="276" w:lineRule="auto"/>
        <w:jc w:val="both"/>
        <w:rPr>
          <w:sz w:val="22"/>
          <w:szCs w:val="22"/>
        </w:rPr>
      </w:pPr>
    </w:p>
    <w:p w14:paraId="1A494189" w14:textId="470E6DFF" w:rsidR="00B764FC" w:rsidRDefault="00B764FC">
      <w:pPr>
        <w:pStyle w:val="Heading2"/>
      </w:pPr>
      <w:bookmarkStart w:id="120" w:name="_Toc22120179"/>
      <w:r>
        <w:lastRenderedPageBreak/>
        <w:t>7.4</w:t>
      </w:r>
      <w:r>
        <w:tab/>
        <w:t xml:space="preserve">Who </w:t>
      </w:r>
      <w:r w:rsidR="005E754B">
        <w:t>manages</w:t>
      </w:r>
      <w:r>
        <w:t xml:space="preserve"> the social housing in Geelong?</w:t>
      </w:r>
      <w:bookmarkEnd w:id="120"/>
    </w:p>
    <w:p w14:paraId="0763D673" w14:textId="1013F451" w:rsidR="00B764FC" w:rsidRDefault="00B764FC">
      <w:pPr>
        <w:spacing w:before="240" w:line="276" w:lineRule="auto"/>
        <w:jc w:val="both"/>
        <w:rPr>
          <w:sz w:val="22"/>
          <w:szCs w:val="22"/>
        </w:rPr>
      </w:pPr>
      <w:r>
        <w:rPr>
          <w:sz w:val="22"/>
          <w:szCs w:val="22"/>
        </w:rPr>
        <w:t xml:space="preserve">The Department of Health and Human Services </w:t>
      </w:r>
      <w:r w:rsidR="005E754B">
        <w:rPr>
          <w:sz w:val="22"/>
          <w:szCs w:val="22"/>
        </w:rPr>
        <w:t xml:space="preserve">manages </w:t>
      </w:r>
      <w:r>
        <w:rPr>
          <w:sz w:val="22"/>
          <w:szCs w:val="22"/>
        </w:rPr>
        <w:t xml:space="preserve">approximately </w:t>
      </w:r>
      <w:r>
        <w:rPr>
          <w:b/>
          <w:bCs/>
          <w:sz w:val="22"/>
          <w:szCs w:val="22"/>
        </w:rPr>
        <w:t>3,</w:t>
      </w:r>
      <w:r w:rsidR="005E754B">
        <w:rPr>
          <w:b/>
          <w:bCs/>
          <w:sz w:val="22"/>
          <w:szCs w:val="22"/>
        </w:rPr>
        <w:t>322</w:t>
      </w:r>
      <w:r>
        <w:rPr>
          <w:b/>
          <w:bCs/>
          <w:sz w:val="22"/>
          <w:szCs w:val="22"/>
        </w:rPr>
        <w:t xml:space="preserve"> public housing properties</w:t>
      </w:r>
      <w:r>
        <w:rPr>
          <w:sz w:val="22"/>
          <w:szCs w:val="22"/>
        </w:rPr>
        <w:t xml:space="preserve">.  Registered Housing Agencies currently manage </w:t>
      </w:r>
      <w:r>
        <w:rPr>
          <w:b/>
          <w:bCs/>
          <w:sz w:val="22"/>
          <w:szCs w:val="22"/>
        </w:rPr>
        <w:t>9</w:t>
      </w:r>
      <w:r w:rsidR="005E754B">
        <w:rPr>
          <w:b/>
          <w:bCs/>
          <w:sz w:val="22"/>
          <w:szCs w:val="22"/>
        </w:rPr>
        <w:t xml:space="preserve">71 </w:t>
      </w:r>
      <w:r>
        <w:rPr>
          <w:b/>
          <w:bCs/>
          <w:sz w:val="22"/>
          <w:szCs w:val="22"/>
        </w:rPr>
        <w:t>properties</w:t>
      </w:r>
      <w:r>
        <w:rPr>
          <w:sz w:val="22"/>
          <w:szCs w:val="22"/>
        </w:rPr>
        <w:t xml:space="preserve"> </w:t>
      </w:r>
      <w:r w:rsidR="005E754B">
        <w:rPr>
          <w:sz w:val="22"/>
          <w:szCs w:val="22"/>
        </w:rPr>
        <w:t>(including 306 DHHS owned)</w:t>
      </w:r>
      <w:r>
        <w:rPr>
          <w:sz w:val="22"/>
          <w:szCs w:val="22"/>
        </w:rPr>
        <w:t xml:space="preserve">, which </w:t>
      </w:r>
      <w:r w:rsidR="005E754B">
        <w:rPr>
          <w:sz w:val="22"/>
          <w:szCs w:val="22"/>
        </w:rPr>
        <w:t xml:space="preserve">altogether </w:t>
      </w:r>
      <w:r>
        <w:rPr>
          <w:sz w:val="22"/>
          <w:szCs w:val="22"/>
        </w:rPr>
        <w:t>accommodate 1,148 households.</w:t>
      </w:r>
      <w:r>
        <w:rPr>
          <w:rStyle w:val="FootnoteReference"/>
          <w:sz w:val="22"/>
          <w:szCs w:val="22"/>
        </w:rPr>
        <w:footnoteReference w:id="14"/>
      </w:r>
      <w:r>
        <w:rPr>
          <w:sz w:val="22"/>
          <w:szCs w:val="22"/>
        </w:rPr>
        <w:t xml:space="preserve">  These are shown below.  </w:t>
      </w:r>
    </w:p>
    <w:p w14:paraId="1C26BDAA" w14:textId="77777777" w:rsidR="00B764FC" w:rsidRDefault="00B764FC">
      <w:pPr>
        <w:spacing w:line="276" w:lineRule="auto"/>
        <w:jc w:val="both"/>
        <w:rPr>
          <w:sz w:val="22"/>
          <w:szCs w:val="22"/>
        </w:rPr>
      </w:pPr>
    </w:p>
    <w:p w14:paraId="1546EBF7" w14:textId="3098E38D" w:rsidR="00B764FC" w:rsidRDefault="00B764FC">
      <w:pPr>
        <w:pStyle w:val="Caption"/>
        <w:rPr>
          <w:b/>
          <w:bCs/>
        </w:rPr>
      </w:pPr>
      <w:bookmarkStart w:id="121" w:name="_Toc22120052"/>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17</w:t>
      </w:r>
      <w:r w:rsidR="00FF5CA4">
        <w:rPr>
          <w:b/>
          <w:bCs/>
        </w:rPr>
        <w:fldChar w:fldCharType="end"/>
      </w:r>
      <w:r>
        <w:rPr>
          <w:b/>
          <w:bCs/>
        </w:rPr>
        <w:t>: Registered Housing Agencies Currently Operating in Geelong</w:t>
      </w:r>
      <w:bookmarkEnd w:id="121"/>
      <w:r>
        <w:rPr>
          <w:b/>
          <w:bCs/>
        </w:rPr>
        <w:t xml:space="preserve"> </w:t>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935"/>
        <w:gridCol w:w="1134"/>
        <w:gridCol w:w="3119"/>
        <w:gridCol w:w="1134"/>
      </w:tblGrid>
      <w:tr w:rsidR="00B764FC" w14:paraId="71E4256B" w14:textId="77777777" w:rsidTr="00311ACE">
        <w:trPr>
          <w:trHeight w:val="170"/>
        </w:trPr>
        <w:tc>
          <w:tcPr>
            <w:tcW w:w="3935" w:type="dxa"/>
            <w:tcBorders>
              <w:left w:val="nil"/>
              <w:right w:val="nil"/>
            </w:tcBorders>
            <w:shd w:val="clear" w:color="auto" w:fill="002060"/>
            <w:vAlign w:val="center"/>
          </w:tcPr>
          <w:p w14:paraId="5CD727F6" w14:textId="77777777" w:rsidR="00B764FC" w:rsidRDefault="00B764FC">
            <w:pPr>
              <w:jc w:val="center"/>
              <w:rPr>
                <w:b/>
                <w:bCs/>
                <w:color w:val="FFFFFF"/>
                <w:sz w:val="18"/>
                <w:szCs w:val="18"/>
              </w:rPr>
            </w:pPr>
            <w:r>
              <w:rPr>
                <w:b/>
                <w:bCs/>
                <w:color w:val="FFFFFF"/>
                <w:sz w:val="18"/>
                <w:szCs w:val="18"/>
              </w:rPr>
              <w:t>Housing Associations</w:t>
            </w:r>
          </w:p>
        </w:tc>
        <w:tc>
          <w:tcPr>
            <w:tcW w:w="1134" w:type="dxa"/>
            <w:tcBorders>
              <w:left w:val="nil"/>
              <w:right w:val="nil"/>
            </w:tcBorders>
            <w:shd w:val="clear" w:color="auto" w:fill="002060"/>
            <w:vAlign w:val="center"/>
          </w:tcPr>
          <w:p w14:paraId="45250247" w14:textId="77777777" w:rsidR="00B764FC" w:rsidRDefault="00B764FC">
            <w:pPr>
              <w:jc w:val="center"/>
              <w:rPr>
                <w:b/>
                <w:bCs/>
                <w:color w:val="FFFFFF"/>
                <w:sz w:val="18"/>
                <w:szCs w:val="18"/>
              </w:rPr>
            </w:pPr>
            <w:r>
              <w:rPr>
                <w:b/>
                <w:bCs/>
                <w:color w:val="FFFFFF"/>
                <w:sz w:val="18"/>
                <w:szCs w:val="18"/>
              </w:rPr>
              <w:t>No. Properties</w:t>
            </w:r>
          </w:p>
        </w:tc>
        <w:tc>
          <w:tcPr>
            <w:tcW w:w="3119" w:type="dxa"/>
            <w:tcBorders>
              <w:left w:val="nil"/>
              <w:right w:val="nil"/>
            </w:tcBorders>
            <w:shd w:val="clear" w:color="auto" w:fill="002060"/>
            <w:vAlign w:val="center"/>
          </w:tcPr>
          <w:p w14:paraId="37D52593" w14:textId="77777777" w:rsidR="00B764FC" w:rsidRDefault="00B764FC">
            <w:pPr>
              <w:jc w:val="center"/>
              <w:rPr>
                <w:b/>
                <w:bCs/>
                <w:color w:val="FFFFFF"/>
                <w:sz w:val="18"/>
                <w:szCs w:val="18"/>
              </w:rPr>
            </w:pPr>
            <w:r>
              <w:rPr>
                <w:b/>
                <w:bCs/>
                <w:color w:val="FFFFFF"/>
                <w:sz w:val="18"/>
                <w:szCs w:val="18"/>
              </w:rPr>
              <w:t>Housing Providers</w:t>
            </w:r>
          </w:p>
        </w:tc>
        <w:tc>
          <w:tcPr>
            <w:tcW w:w="1134" w:type="dxa"/>
            <w:tcBorders>
              <w:left w:val="nil"/>
              <w:right w:val="nil"/>
            </w:tcBorders>
            <w:shd w:val="clear" w:color="auto" w:fill="002060"/>
            <w:vAlign w:val="center"/>
          </w:tcPr>
          <w:p w14:paraId="070F52B2" w14:textId="77777777" w:rsidR="00B764FC" w:rsidRDefault="00B764FC">
            <w:pPr>
              <w:jc w:val="center"/>
              <w:rPr>
                <w:b/>
                <w:bCs/>
                <w:color w:val="FFFFFF"/>
                <w:sz w:val="18"/>
                <w:szCs w:val="18"/>
              </w:rPr>
            </w:pPr>
            <w:r>
              <w:rPr>
                <w:b/>
                <w:bCs/>
                <w:color w:val="FFFFFF"/>
                <w:sz w:val="18"/>
                <w:szCs w:val="18"/>
              </w:rPr>
              <w:t>No. Properties</w:t>
            </w:r>
          </w:p>
        </w:tc>
      </w:tr>
      <w:tr w:rsidR="00B764FC" w14:paraId="57234181" w14:textId="77777777">
        <w:trPr>
          <w:trHeight w:val="170"/>
        </w:trPr>
        <w:tc>
          <w:tcPr>
            <w:tcW w:w="3935" w:type="dxa"/>
            <w:tcBorders>
              <w:left w:val="nil"/>
              <w:right w:val="nil"/>
            </w:tcBorders>
            <w:vAlign w:val="center"/>
          </w:tcPr>
          <w:p w14:paraId="587C60E5" w14:textId="77777777" w:rsidR="00B764FC" w:rsidRDefault="00B764FC">
            <w:pPr>
              <w:spacing w:before="60"/>
              <w:rPr>
                <w:sz w:val="20"/>
                <w:szCs w:val="20"/>
              </w:rPr>
            </w:pPr>
            <w:r>
              <w:rPr>
                <w:sz w:val="20"/>
                <w:szCs w:val="20"/>
              </w:rPr>
              <w:t>Aboriginal Housing Victoria</w:t>
            </w:r>
          </w:p>
        </w:tc>
        <w:tc>
          <w:tcPr>
            <w:tcW w:w="1134" w:type="dxa"/>
            <w:tcBorders>
              <w:left w:val="nil"/>
              <w:right w:val="nil"/>
            </w:tcBorders>
            <w:vAlign w:val="center"/>
          </w:tcPr>
          <w:p w14:paraId="369E281A" w14:textId="77777777" w:rsidR="00B764FC" w:rsidRDefault="00B764FC">
            <w:pPr>
              <w:spacing w:before="60"/>
              <w:ind w:right="131"/>
              <w:jc w:val="center"/>
              <w:rPr>
                <w:sz w:val="20"/>
                <w:szCs w:val="20"/>
              </w:rPr>
            </w:pPr>
            <w:r>
              <w:rPr>
                <w:sz w:val="20"/>
                <w:szCs w:val="20"/>
              </w:rPr>
              <w:t>85</w:t>
            </w:r>
          </w:p>
        </w:tc>
        <w:tc>
          <w:tcPr>
            <w:tcW w:w="3119" w:type="dxa"/>
            <w:tcBorders>
              <w:left w:val="nil"/>
              <w:right w:val="nil"/>
            </w:tcBorders>
          </w:tcPr>
          <w:p w14:paraId="6C755166" w14:textId="77777777" w:rsidR="00B764FC" w:rsidRDefault="00B764FC">
            <w:pPr>
              <w:spacing w:before="60"/>
              <w:rPr>
                <w:sz w:val="20"/>
                <w:szCs w:val="20"/>
              </w:rPr>
            </w:pPr>
            <w:r>
              <w:rPr>
                <w:sz w:val="20"/>
                <w:szCs w:val="20"/>
              </w:rPr>
              <w:t>Baptcare</w:t>
            </w:r>
          </w:p>
        </w:tc>
        <w:tc>
          <w:tcPr>
            <w:tcW w:w="1134" w:type="dxa"/>
            <w:tcBorders>
              <w:left w:val="nil"/>
              <w:right w:val="nil"/>
            </w:tcBorders>
            <w:vAlign w:val="center"/>
          </w:tcPr>
          <w:p w14:paraId="6BC09BBB" w14:textId="77777777" w:rsidR="00B764FC" w:rsidRDefault="00B764FC">
            <w:pPr>
              <w:spacing w:before="60"/>
              <w:ind w:right="131"/>
              <w:jc w:val="center"/>
              <w:rPr>
                <w:sz w:val="20"/>
                <w:szCs w:val="20"/>
              </w:rPr>
            </w:pPr>
            <w:r>
              <w:rPr>
                <w:sz w:val="20"/>
                <w:szCs w:val="20"/>
              </w:rPr>
              <w:t>52</w:t>
            </w:r>
          </w:p>
        </w:tc>
      </w:tr>
      <w:tr w:rsidR="00B764FC" w14:paraId="2A59D84B" w14:textId="77777777">
        <w:trPr>
          <w:trHeight w:val="170"/>
        </w:trPr>
        <w:tc>
          <w:tcPr>
            <w:tcW w:w="3935" w:type="dxa"/>
            <w:tcBorders>
              <w:left w:val="nil"/>
              <w:right w:val="nil"/>
            </w:tcBorders>
            <w:shd w:val="clear" w:color="auto" w:fill="FFFFFF"/>
            <w:vAlign w:val="center"/>
          </w:tcPr>
          <w:p w14:paraId="7E94D357" w14:textId="77777777" w:rsidR="00B764FC" w:rsidRDefault="00B764FC">
            <w:pPr>
              <w:spacing w:before="60"/>
              <w:rPr>
                <w:sz w:val="20"/>
                <w:szCs w:val="20"/>
              </w:rPr>
            </w:pPr>
            <w:r>
              <w:rPr>
                <w:sz w:val="20"/>
                <w:szCs w:val="20"/>
              </w:rPr>
              <w:t>Common Equity Housing Limited</w:t>
            </w:r>
          </w:p>
        </w:tc>
        <w:tc>
          <w:tcPr>
            <w:tcW w:w="1134" w:type="dxa"/>
            <w:tcBorders>
              <w:left w:val="nil"/>
              <w:right w:val="nil"/>
            </w:tcBorders>
            <w:shd w:val="clear" w:color="auto" w:fill="FFFFFF"/>
            <w:vAlign w:val="center"/>
          </w:tcPr>
          <w:p w14:paraId="2E7CBCDF" w14:textId="77777777" w:rsidR="00B764FC" w:rsidRDefault="00B764FC">
            <w:pPr>
              <w:spacing w:before="60"/>
              <w:ind w:right="131"/>
              <w:jc w:val="center"/>
              <w:rPr>
                <w:sz w:val="20"/>
                <w:szCs w:val="20"/>
              </w:rPr>
            </w:pPr>
            <w:r>
              <w:rPr>
                <w:sz w:val="20"/>
                <w:szCs w:val="20"/>
              </w:rPr>
              <w:t>297</w:t>
            </w:r>
          </w:p>
        </w:tc>
        <w:tc>
          <w:tcPr>
            <w:tcW w:w="3119" w:type="dxa"/>
            <w:tcBorders>
              <w:left w:val="nil"/>
              <w:right w:val="nil"/>
            </w:tcBorders>
            <w:shd w:val="clear" w:color="auto" w:fill="FFFFFF"/>
            <w:vAlign w:val="center"/>
          </w:tcPr>
          <w:p w14:paraId="0266920E" w14:textId="77777777" w:rsidR="00B764FC" w:rsidRDefault="00B764FC">
            <w:pPr>
              <w:spacing w:before="60"/>
              <w:rPr>
                <w:sz w:val="20"/>
                <w:szCs w:val="20"/>
              </w:rPr>
            </w:pPr>
            <w:r>
              <w:rPr>
                <w:sz w:val="20"/>
                <w:szCs w:val="20"/>
              </w:rPr>
              <w:t>BAYSA</w:t>
            </w:r>
          </w:p>
        </w:tc>
        <w:tc>
          <w:tcPr>
            <w:tcW w:w="1134" w:type="dxa"/>
            <w:tcBorders>
              <w:left w:val="nil"/>
              <w:right w:val="nil"/>
            </w:tcBorders>
            <w:shd w:val="clear" w:color="auto" w:fill="FFFFFF"/>
            <w:vAlign w:val="center"/>
          </w:tcPr>
          <w:p w14:paraId="33FDCACD" w14:textId="77777777" w:rsidR="00B764FC" w:rsidRDefault="00B764FC">
            <w:pPr>
              <w:spacing w:before="60"/>
              <w:ind w:right="131"/>
              <w:jc w:val="center"/>
              <w:rPr>
                <w:sz w:val="20"/>
                <w:szCs w:val="20"/>
              </w:rPr>
            </w:pPr>
            <w:r>
              <w:rPr>
                <w:sz w:val="20"/>
                <w:szCs w:val="20"/>
              </w:rPr>
              <w:t>49</w:t>
            </w:r>
          </w:p>
        </w:tc>
      </w:tr>
      <w:tr w:rsidR="00B764FC" w14:paraId="2DEA6A57" w14:textId="77777777">
        <w:trPr>
          <w:trHeight w:val="170"/>
        </w:trPr>
        <w:tc>
          <w:tcPr>
            <w:tcW w:w="3935" w:type="dxa"/>
            <w:tcBorders>
              <w:left w:val="nil"/>
              <w:right w:val="nil"/>
            </w:tcBorders>
            <w:vAlign w:val="center"/>
          </w:tcPr>
          <w:p w14:paraId="53CB7A1B" w14:textId="77777777" w:rsidR="00B764FC" w:rsidRDefault="00B764FC">
            <w:pPr>
              <w:spacing w:before="60"/>
              <w:rPr>
                <w:sz w:val="20"/>
                <w:szCs w:val="20"/>
              </w:rPr>
            </w:pPr>
            <w:r>
              <w:rPr>
                <w:sz w:val="20"/>
                <w:szCs w:val="20"/>
              </w:rPr>
              <w:t>Housing Choices Australia</w:t>
            </w:r>
          </w:p>
        </w:tc>
        <w:tc>
          <w:tcPr>
            <w:tcW w:w="1134" w:type="dxa"/>
            <w:tcBorders>
              <w:left w:val="nil"/>
              <w:right w:val="nil"/>
            </w:tcBorders>
            <w:vAlign w:val="center"/>
          </w:tcPr>
          <w:p w14:paraId="401834E0" w14:textId="77777777" w:rsidR="00B764FC" w:rsidRDefault="00B764FC">
            <w:pPr>
              <w:spacing w:before="60"/>
              <w:ind w:right="131"/>
              <w:jc w:val="center"/>
              <w:rPr>
                <w:sz w:val="20"/>
                <w:szCs w:val="20"/>
              </w:rPr>
            </w:pPr>
            <w:r>
              <w:rPr>
                <w:sz w:val="20"/>
                <w:szCs w:val="20"/>
              </w:rPr>
              <w:t>42</w:t>
            </w:r>
          </w:p>
        </w:tc>
        <w:tc>
          <w:tcPr>
            <w:tcW w:w="3119" w:type="dxa"/>
            <w:tcBorders>
              <w:left w:val="nil"/>
              <w:right w:val="nil"/>
            </w:tcBorders>
            <w:vAlign w:val="center"/>
          </w:tcPr>
          <w:p w14:paraId="7BB151C2" w14:textId="77777777" w:rsidR="00B764FC" w:rsidRDefault="00B764FC">
            <w:pPr>
              <w:spacing w:before="60"/>
              <w:rPr>
                <w:sz w:val="20"/>
                <w:szCs w:val="20"/>
              </w:rPr>
            </w:pPr>
            <w:r>
              <w:rPr>
                <w:sz w:val="20"/>
                <w:szCs w:val="20"/>
              </w:rPr>
              <w:t>Salvation Army Victoria</w:t>
            </w:r>
          </w:p>
        </w:tc>
        <w:tc>
          <w:tcPr>
            <w:tcW w:w="1134" w:type="dxa"/>
            <w:tcBorders>
              <w:left w:val="nil"/>
              <w:right w:val="nil"/>
            </w:tcBorders>
            <w:vAlign w:val="center"/>
          </w:tcPr>
          <w:p w14:paraId="5C9A7E41" w14:textId="77777777" w:rsidR="00B764FC" w:rsidRDefault="00B764FC">
            <w:pPr>
              <w:spacing w:before="60"/>
              <w:ind w:right="131"/>
              <w:jc w:val="center"/>
              <w:rPr>
                <w:sz w:val="20"/>
                <w:szCs w:val="20"/>
              </w:rPr>
            </w:pPr>
            <w:r>
              <w:rPr>
                <w:sz w:val="20"/>
                <w:szCs w:val="20"/>
              </w:rPr>
              <w:t>102</w:t>
            </w:r>
          </w:p>
        </w:tc>
      </w:tr>
      <w:tr w:rsidR="00B764FC" w14:paraId="19829D4F" w14:textId="77777777">
        <w:trPr>
          <w:trHeight w:val="170"/>
        </w:trPr>
        <w:tc>
          <w:tcPr>
            <w:tcW w:w="3935" w:type="dxa"/>
            <w:tcBorders>
              <w:left w:val="nil"/>
              <w:right w:val="nil"/>
            </w:tcBorders>
            <w:shd w:val="clear" w:color="auto" w:fill="FFFFFF"/>
            <w:vAlign w:val="center"/>
          </w:tcPr>
          <w:p w14:paraId="14FE6692" w14:textId="77777777" w:rsidR="00B764FC" w:rsidRDefault="00B764FC">
            <w:pPr>
              <w:spacing w:before="60"/>
              <w:rPr>
                <w:sz w:val="20"/>
                <w:szCs w:val="20"/>
              </w:rPr>
            </w:pPr>
            <w:r>
              <w:rPr>
                <w:sz w:val="20"/>
                <w:szCs w:val="20"/>
              </w:rPr>
              <w:t>Loddon Mallee Housing Limited</w:t>
            </w:r>
          </w:p>
        </w:tc>
        <w:tc>
          <w:tcPr>
            <w:tcW w:w="1134" w:type="dxa"/>
            <w:tcBorders>
              <w:left w:val="nil"/>
              <w:right w:val="nil"/>
            </w:tcBorders>
            <w:shd w:val="clear" w:color="auto" w:fill="FFFFFF"/>
            <w:vAlign w:val="center"/>
          </w:tcPr>
          <w:p w14:paraId="7EB1B624" w14:textId="77777777" w:rsidR="00B764FC" w:rsidRDefault="00B764FC">
            <w:pPr>
              <w:spacing w:before="60"/>
              <w:ind w:right="131"/>
              <w:jc w:val="center"/>
              <w:rPr>
                <w:sz w:val="20"/>
                <w:szCs w:val="20"/>
              </w:rPr>
            </w:pPr>
            <w:r>
              <w:rPr>
                <w:sz w:val="20"/>
                <w:szCs w:val="20"/>
              </w:rPr>
              <w:t>153</w:t>
            </w:r>
          </w:p>
        </w:tc>
        <w:tc>
          <w:tcPr>
            <w:tcW w:w="3119" w:type="dxa"/>
            <w:tcBorders>
              <w:left w:val="nil"/>
              <w:right w:val="nil"/>
            </w:tcBorders>
            <w:shd w:val="clear" w:color="auto" w:fill="FFFFFF"/>
            <w:vAlign w:val="center"/>
          </w:tcPr>
          <w:p w14:paraId="02A591BF" w14:textId="77777777" w:rsidR="00B764FC" w:rsidRDefault="00B764FC">
            <w:pPr>
              <w:spacing w:before="60"/>
              <w:rPr>
                <w:sz w:val="20"/>
                <w:szCs w:val="20"/>
              </w:rPr>
            </w:pPr>
            <w:r>
              <w:rPr>
                <w:sz w:val="20"/>
                <w:szCs w:val="20"/>
              </w:rPr>
              <w:t>Northern Geelong Rental Housing Coop</w:t>
            </w:r>
          </w:p>
        </w:tc>
        <w:tc>
          <w:tcPr>
            <w:tcW w:w="1134" w:type="dxa"/>
            <w:tcBorders>
              <w:left w:val="nil"/>
              <w:right w:val="nil"/>
            </w:tcBorders>
            <w:shd w:val="clear" w:color="auto" w:fill="FFFFFF"/>
            <w:vAlign w:val="center"/>
          </w:tcPr>
          <w:p w14:paraId="24D4F9DF" w14:textId="77777777" w:rsidR="00B764FC" w:rsidRDefault="00B764FC">
            <w:pPr>
              <w:spacing w:before="60"/>
              <w:ind w:right="131"/>
              <w:jc w:val="center"/>
              <w:rPr>
                <w:sz w:val="20"/>
                <w:szCs w:val="20"/>
              </w:rPr>
            </w:pPr>
            <w:r>
              <w:rPr>
                <w:sz w:val="20"/>
                <w:szCs w:val="20"/>
              </w:rPr>
              <w:t>58</w:t>
            </w:r>
          </w:p>
        </w:tc>
      </w:tr>
      <w:tr w:rsidR="00B764FC" w14:paraId="5ABACEC0" w14:textId="77777777">
        <w:trPr>
          <w:trHeight w:val="170"/>
        </w:trPr>
        <w:tc>
          <w:tcPr>
            <w:tcW w:w="3935" w:type="dxa"/>
            <w:tcBorders>
              <w:left w:val="nil"/>
              <w:right w:val="nil"/>
            </w:tcBorders>
            <w:vAlign w:val="center"/>
          </w:tcPr>
          <w:p w14:paraId="42D99A25" w14:textId="77777777" w:rsidR="00B764FC" w:rsidRDefault="00B764FC">
            <w:pPr>
              <w:spacing w:before="60"/>
              <w:rPr>
                <w:sz w:val="20"/>
                <w:szCs w:val="20"/>
              </w:rPr>
            </w:pPr>
            <w:r>
              <w:rPr>
                <w:sz w:val="20"/>
                <w:szCs w:val="20"/>
              </w:rPr>
              <w:t>Unison Housing Limited</w:t>
            </w:r>
          </w:p>
        </w:tc>
        <w:tc>
          <w:tcPr>
            <w:tcW w:w="1134" w:type="dxa"/>
            <w:tcBorders>
              <w:left w:val="nil"/>
              <w:right w:val="nil"/>
            </w:tcBorders>
            <w:vAlign w:val="center"/>
          </w:tcPr>
          <w:p w14:paraId="30FB4AFE" w14:textId="77777777" w:rsidR="00B764FC" w:rsidRDefault="00B764FC">
            <w:pPr>
              <w:spacing w:before="60"/>
              <w:ind w:right="131"/>
              <w:jc w:val="center"/>
              <w:rPr>
                <w:sz w:val="20"/>
                <w:szCs w:val="20"/>
              </w:rPr>
            </w:pPr>
            <w:r>
              <w:rPr>
                <w:sz w:val="20"/>
                <w:szCs w:val="20"/>
              </w:rPr>
              <w:t>20</w:t>
            </w:r>
          </w:p>
        </w:tc>
        <w:tc>
          <w:tcPr>
            <w:tcW w:w="3119" w:type="dxa"/>
            <w:tcBorders>
              <w:left w:val="nil"/>
              <w:right w:val="nil"/>
            </w:tcBorders>
            <w:vAlign w:val="center"/>
          </w:tcPr>
          <w:p w14:paraId="3378CC0A" w14:textId="77777777" w:rsidR="00B764FC" w:rsidRDefault="00B764FC">
            <w:pPr>
              <w:spacing w:before="60"/>
              <w:rPr>
                <w:sz w:val="20"/>
                <w:szCs w:val="20"/>
              </w:rPr>
            </w:pPr>
            <w:r>
              <w:rPr>
                <w:snapToGrid w:val="0"/>
                <w:color w:val="000000"/>
                <w:sz w:val="20"/>
                <w:szCs w:val="20"/>
              </w:rPr>
              <w:t>Active Community Housing Ltd</w:t>
            </w:r>
          </w:p>
        </w:tc>
        <w:tc>
          <w:tcPr>
            <w:tcW w:w="1134" w:type="dxa"/>
            <w:tcBorders>
              <w:left w:val="nil"/>
              <w:right w:val="nil"/>
            </w:tcBorders>
            <w:vAlign w:val="center"/>
          </w:tcPr>
          <w:p w14:paraId="3C386656" w14:textId="77777777" w:rsidR="00B764FC" w:rsidRDefault="00B764FC">
            <w:pPr>
              <w:spacing w:before="60"/>
              <w:ind w:right="131"/>
              <w:jc w:val="center"/>
              <w:rPr>
                <w:sz w:val="20"/>
                <w:szCs w:val="20"/>
              </w:rPr>
            </w:pPr>
            <w:r>
              <w:rPr>
                <w:sz w:val="20"/>
                <w:szCs w:val="20"/>
              </w:rPr>
              <w:t>3</w:t>
            </w:r>
          </w:p>
        </w:tc>
      </w:tr>
      <w:tr w:rsidR="00B764FC" w14:paraId="424631DD" w14:textId="77777777">
        <w:trPr>
          <w:trHeight w:val="170"/>
        </w:trPr>
        <w:tc>
          <w:tcPr>
            <w:tcW w:w="3935" w:type="dxa"/>
            <w:tcBorders>
              <w:left w:val="nil"/>
              <w:bottom w:val="nil"/>
              <w:right w:val="nil"/>
            </w:tcBorders>
            <w:shd w:val="clear" w:color="auto" w:fill="FFFFFF"/>
            <w:vAlign w:val="center"/>
          </w:tcPr>
          <w:p w14:paraId="4B9A8FF7" w14:textId="77777777" w:rsidR="00B764FC" w:rsidRDefault="00B764FC">
            <w:pPr>
              <w:spacing w:before="60"/>
              <w:rPr>
                <w:sz w:val="20"/>
                <w:szCs w:val="20"/>
              </w:rPr>
            </w:pPr>
            <w:r>
              <w:rPr>
                <w:sz w:val="20"/>
                <w:szCs w:val="20"/>
              </w:rPr>
              <w:t>Wintringham Housing Limited</w:t>
            </w:r>
          </w:p>
        </w:tc>
        <w:tc>
          <w:tcPr>
            <w:tcW w:w="1134" w:type="dxa"/>
            <w:tcBorders>
              <w:left w:val="nil"/>
              <w:bottom w:val="nil"/>
              <w:right w:val="nil"/>
            </w:tcBorders>
            <w:shd w:val="clear" w:color="auto" w:fill="FFFFFF"/>
            <w:vAlign w:val="center"/>
          </w:tcPr>
          <w:p w14:paraId="0391C602" w14:textId="77777777" w:rsidR="00B764FC" w:rsidRDefault="00B764FC">
            <w:pPr>
              <w:spacing w:before="60"/>
              <w:ind w:right="131"/>
              <w:jc w:val="center"/>
              <w:rPr>
                <w:sz w:val="20"/>
                <w:szCs w:val="20"/>
              </w:rPr>
            </w:pPr>
            <w:r>
              <w:rPr>
                <w:sz w:val="20"/>
                <w:szCs w:val="20"/>
              </w:rPr>
              <w:t>70</w:t>
            </w:r>
          </w:p>
        </w:tc>
        <w:tc>
          <w:tcPr>
            <w:tcW w:w="3119" w:type="dxa"/>
            <w:tcBorders>
              <w:left w:val="nil"/>
              <w:right w:val="nil"/>
            </w:tcBorders>
            <w:shd w:val="clear" w:color="auto" w:fill="FFFFFF"/>
            <w:vAlign w:val="center"/>
          </w:tcPr>
          <w:p w14:paraId="0A65F4F3" w14:textId="77777777" w:rsidR="00B764FC" w:rsidRDefault="00B764FC">
            <w:pPr>
              <w:spacing w:before="60"/>
              <w:rPr>
                <w:sz w:val="20"/>
                <w:szCs w:val="20"/>
              </w:rPr>
            </w:pPr>
            <w:r>
              <w:rPr>
                <w:snapToGrid w:val="0"/>
                <w:color w:val="000000"/>
                <w:sz w:val="20"/>
                <w:szCs w:val="20"/>
              </w:rPr>
              <w:t>Community Housing (Vic) Ltd</w:t>
            </w:r>
          </w:p>
        </w:tc>
        <w:tc>
          <w:tcPr>
            <w:tcW w:w="1134" w:type="dxa"/>
            <w:tcBorders>
              <w:left w:val="nil"/>
              <w:right w:val="nil"/>
            </w:tcBorders>
            <w:shd w:val="clear" w:color="auto" w:fill="FFFFFF"/>
            <w:vAlign w:val="center"/>
          </w:tcPr>
          <w:p w14:paraId="0472C6ED" w14:textId="77777777" w:rsidR="00B764FC" w:rsidRDefault="00B764FC">
            <w:pPr>
              <w:spacing w:before="60"/>
              <w:ind w:right="131"/>
              <w:jc w:val="center"/>
              <w:rPr>
                <w:sz w:val="20"/>
                <w:szCs w:val="20"/>
              </w:rPr>
            </w:pPr>
            <w:r>
              <w:rPr>
                <w:sz w:val="20"/>
                <w:szCs w:val="20"/>
              </w:rPr>
              <w:t>31</w:t>
            </w:r>
          </w:p>
        </w:tc>
      </w:tr>
      <w:tr w:rsidR="00B764FC" w14:paraId="7A518EBF" w14:textId="77777777">
        <w:trPr>
          <w:trHeight w:val="170"/>
        </w:trPr>
        <w:tc>
          <w:tcPr>
            <w:tcW w:w="3935" w:type="dxa"/>
            <w:tcBorders>
              <w:top w:val="nil"/>
              <w:left w:val="nil"/>
              <w:bottom w:val="nil"/>
              <w:right w:val="nil"/>
            </w:tcBorders>
            <w:shd w:val="clear" w:color="auto" w:fill="FFFFFF"/>
            <w:vAlign w:val="center"/>
          </w:tcPr>
          <w:p w14:paraId="19F3B4DE" w14:textId="77777777" w:rsidR="00B764FC" w:rsidRDefault="00B764FC">
            <w:pPr>
              <w:spacing w:before="60"/>
              <w:jc w:val="center"/>
              <w:rPr>
                <w:sz w:val="20"/>
                <w:szCs w:val="20"/>
              </w:rPr>
            </w:pPr>
          </w:p>
        </w:tc>
        <w:tc>
          <w:tcPr>
            <w:tcW w:w="1134" w:type="dxa"/>
            <w:tcBorders>
              <w:top w:val="nil"/>
              <w:left w:val="nil"/>
              <w:bottom w:val="nil"/>
              <w:right w:val="nil"/>
            </w:tcBorders>
            <w:shd w:val="clear" w:color="auto" w:fill="FFFFFF"/>
            <w:vAlign w:val="center"/>
          </w:tcPr>
          <w:p w14:paraId="356E6A5D" w14:textId="77777777" w:rsidR="00B764FC" w:rsidRDefault="00B764FC">
            <w:pPr>
              <w:spacing w:before="60"/>
              <w:ind w:right="131"/>
              <w:jc w:val="center"/>
              <w:rPr>
                <w:sz w:val="20"/>
                <w:szCs w:val="20"/>
              </w:rPr>
            </w:pPr>
          </w:p>
        </w:tc>
        <w:tc>
          <w:tcPr>
            <w:tcW w:w="3119" w:type="dxa"/>
            <w:tcBorders>
              <w:left w:val="nil"/>
              <w:right w:val="nil"/>
            </w:tcBorders>
            <w:shd w:val="clear" w:color="auto" w:fill="FFFFFF"/>
            <w:vAlign w:val="center"/>
          </w:tcPr>
          <w:p w14:paraId="67F330B9" w14:textId="77777777" w:rsidR="00B764FC" w:rsidRDefault="00B764FC">
            <w:pPr>
              <w:spacing w:before="60"/>
              <w:rPr>
                <w:sz w:val="20"/>
                <w:szCs w:val="20"/>
              </w:rPr>
            </w:pPr>
            <w:r>
              <w:rPr>
                <w:sz w:val="20"/>
                <w:szCs w:val="20"/>
              </w:rPr>
              <w:t>Melbourne Affordable Housing</w:t>
            </w:r>
          </w:p>
        </w:tc>
        <w:tc>
          <w:tcPr>
            <w:tcW w:w="1134" w:type="dxa"/>
            <w:tcBorders>
              <w:left w:val="nil"/>
              <w:right w:val="nil"/>
            </w:tcBorders>
            <w:shd w:val="clear" w:color="auto" w:fill="FFFFFF"/>
            <w:vAlign w:val="center"/>
          </w:tcPr>
          <w:p w14:paraId="77A11939" w14:textId="77777777" w:rsidR="00B764FC" w:rsidRDefault="00B764FC">
            <w:pPr>
              <w:spacing w:before="60"/>
              <w:ind w:right="131"/>
              <w:jc w:val="center"/>
              <w:rPr>
                <w:sz w:val="20"/>
                <w:szCs w:val="20"/>
              </w:rPr>
            </w:pPr>
            <w:r>
              <w:rPr>
                <w:sz w:val="20"/>
                <w:szCs w:val="20"/>
              </w:rPr>
              <w:t>20</w:t>
            </w:r>
          </w:p>
        </w:tc>
      </w:tr>
      <w:tr w:rsidR="00B764FC" w14:paraId="32CE4114" w14:textId="77777777">
        <w:trPr>
          <w:trHeight w:val="170"/>
        </w:trPr>
        <w:tc>
          <w:tcPr>
            <w:tcW w:w="3935" w:type="dxa"/>
            <w:tcBorders>
              <w:top w:val="nil"/>
              <w:left w:val="nil"/>
              <w:bottom w:val="nil"/>
              <w:right w:val="nil"/>
            </w:tcBorders>
            <w:shd w:val="clear" w:color="auto" w:fill="FFFFFF"/>
            <w:vAlign w:val="center"/>
          </w:tcPr>
          <w:p w14:paraId="25DE3D15" w14:textId="77777777" w:rsidR="00B764FC" w:rsidRDefault="00B764FC">
            <w:pPr>
              <w:spacing w:before="60"/>
              <w:jc w:val="center"/>
              <w:rPr>
                <w:sz w:val="20"/>
                <w:szCs w:val="20"/>
              </w:rPr>
            </w:pPr>
          </w:p>
        </w:tc>
        <w:tc>
          <w:tcPr>
            <w:tcW w:w="1134" w:type="dxa"/>
            <w:tcBorders>
              <w:top w:val="nil"/>
              <w:left w:val="nil"/>
              <w:bottom w:val="nil"/>
              <w:right w:val="nil"/>
            </w:tcBorders>
            <w:shd w:val="clear" w:color="auto" w:fill="FFFFFF"/>
            <w:vAlign w:val="center"/>
          </w:tcPr>
          <w:p w14:paraId="59DA26AB" w14:textId="77777777" w:rsidR="00B764FC" w:rsidRDefault="00B764FC">
            <w:pPr>
              <w:spacing w:before="60"/>
              <w:ind w:right="131"/>
              <w:jc w:val="center"/>
              <w:rPr>
                <w:sz w:val="20"/>
                <w:szCs w:val="20"/>
              </w:rPr>
            </w:pPr>
          </w:p>
        </w:tc>
        <w:tc>
          <w:tcPr>
            <w:tcW w:w="3119" w:type="dxa"/>
            <w:tcBorders>
              <w:left w:val="nil"/>
              <w:right w:val="nil"/>
            </w:tcBorders>
            <w:shd w:val="clear" w:color="auto" w:fill="FFFFFF"/>
            <w:vAlign w:val="center"/>
          </w:tcPr>
          <w:p w14:paraId="210A585F" w14:textId="77777777" w:rsidR="00B764FC" w:rsidRDefault="00B764FC">
            <w:pPr>
              <w:spacing w:before="60"/>
              <w:rPr>
                <w:sz w:val="20"/>
                <w:szCs w:val="20"/>
              </w:rPr>
            </w:pPr>
            <w:r>
              <w:rPr>
                <w:snapToGrid w:val="0"/>
                <w:color w:val="000000"/>
                <w:sz w:val="20"/>
                <w:szCs w:val="20"/>
              </w:rPr>
              <w:t>Uniting Housing Australia Limited</w:t>
            </w:r>
          </w:p>
        </w:tc>
        <w:tc>
          <w:tcPr>
            <w:tcW w:w="1134" w:type="dxa"/>
            <w:tcBorders>
              <w:left w:val="nil"/>
              <w:right w:val="nil"/>
            </w:tcBorders>
            <w:shd w:val="clear" w:color="auto" w:fill="FFFFFF"/>
            <w:vAlign w:val="center"/>
          </w:tcPr>
          <w:p w14:paraId="24ECFDB8" w14:textId="77777777" w:rsidR="00B764FC" w:rsidRDefault="00B764FC">
            <w:pPr>
              <w:spacing w:before="60"/>
              <w:ind w:right="131"/>
              <w:jc w:val="center"/>
              <w:rPr>
                <w:sz w:val="20"/>
                <w:szCs w:val="20"/>
              </w:rPr>
            </w:pPr>
            <w:r>
              <w:rPr>
                <w:sz w:val="20"/>
                <w:szCs w:val="20"/>
              </w:rPr>
              <w:t>3</w:t>
            </w:r>
          </w:p>
        </w:tc>
      </w:tr>
      <w:tr w:rsidR="00B764FC" w14:paraId="5368CC9D" w14:textId="77777777">
        <w:trPr>
          <w:trHeight w:val="170"/>
        </w:trPr>
        <w:tc>
          <w:tcPr>
            <w:tcW w:w="3935" w:type="dxa"/>
            <w:tcBorders>
              <w:top w:val="nil"/>
              <w:left w:val="nil"/>
              <w:bottom w:val="nil"/>
              <w:right w:val="nil"/>
            </w:tcBorders>
            <w:shd w:val="clear" w:color="auto" w:fill="FFFFFF"/>
            <w:vAlign w:val="center"/>
          </w:tcPr>
          <w:p w14:paraId="2DA36FD0" w14:textId="77777777" w:rsidR="00B764FC" w:rsidRDefault="00B764FC">
            <w:pPr>
              <w:spacing w:before="60"/>
              <w:jc w:val="center"/>
              <w:rPr>
                <w:sz w:val="20"/>
                <w:szCs w:val="20"/>
              </w:rPr>
            </w:pPr>
          </w:p>
        </w:tc>
        <w:tc>
          <w:tcPr>
            <w:tcW w:w="1134" w:type="dxa"/>
            <w:tcBorders>
              <w:top w:val="nil"/>
              <w:left w:val="nil"/>
              <w:bottom w:val="nil"/>
              <w:right w:val="nil"/>
            </w:tcBorders>
            <w:shd w:val="clear" w:color="auto" w:fill="FFFFFF"/>
            <w:vAlign w:val="center"/>
          </w:tcPr>
          <w:p w14:paraId="72054657" w14:textId="77777777" w:rsidR="00B764FC" w:rsidRDefault="00B764FC">
            <w:pPr>
              <w:spacing w:before="60"/>
              <w:ind w:right="131"/>
              <w:jc w:val="center"/>
              <w:rPr>
                <w:sz w:val="20"/>
                <w:szCs w:val="20"/>
              </w:rPr>
            </w:pPr>
          </w:p>
        </w:tc>
        <w:tc>
          <w:tcPr>
            <w:tcW w:w="3119" w:type="dxa"/>
            <w:tcBorders>
              <w:left w:val="nil"/>
              <w:right w:val="nil"/>
            </w:tcBorders>
            <w:shd w:val="clear" w:color="auto" w:fill="FFFFFF"/>
            <w:vAlign w:val="center"/>
          </w:tcPr>
          <w:p w14:paraId="4F687842" w14:textId="77777777" w:rsidR="00B764FC" w:rsidRDefault="00B764FC">
            <w:pPr>
              <w:spacing w:before="60"/>
              <w:rPr>
                <w:snapToGrid w:val="0"/>
                <w:color w:val="000000"/>
                <w:sz w:val="20"/>
                <w:szCs w:val="20"/>
              </w:rPr>
            </w:pPr>
            <w:r>
              <w:rPr>
                <w:snapToGrid w:val="0"/>
                <w:color w:val="000000"/>
                <w:sz w:val="20"/>
                <w:szCs w:val="20"/>
              </w:rPr>
              <w:t>VincentCare Community Housing</w:t>
            </w:r>
          </w:p>
        </w:tc>
        <w:tc>
          <w:tcPr>
            <w:tcW w:w="1134" w:type="dxa"/>
            <w:tcBorders>
              <w:left w:val="nil"/>
              <w:right w:val="nil"/>
            </w:tcBorders>
            <w:shd w:val="clear" w:color="auto" w:fill="FFFFFF"/>
            <w:vAlign w:val="center"/>
          </w:tcPr>
          <w:p w14:paraId="75DA512B" w14:textId="77777777" w:rsidR="00B764FC" w:rsidRDefault="00B764FC">
            <w:pPr>
              <w:spacing w:before="60"/>
              <w:ind w:right="131"/>
              <w:jc w:val="center"/>
              <w:rPr>
                <w:sz w:val="20"/>
                <w:szCs w:val="20"/>
              </w:rPr>
            </w:pPr>
            <w:r>
              <w:rPr>
                <w:sz w:val="20"/>
                <w:szCs w:val="20"/>
              </w:rPr>
              <w:t>3</w:t>
            </w:r>
          </w:p>
        </w:tc>
      </w:tr>
      <w:tr w:rsidR="00B764FC" w14:paraId="42FD63BB" w14:textId="77777777">
        <w:trPr>
          <w:trHeight w:val="170"/>
        </w:trPr>
        <w:tc>
          <w:tcPr>
            <w:tcW w:w="3935" w:type="dxa"/>
            <w:tcBorders>
              <w:top w:val="nil"/>
              <w:left w:val="nil"/>
              <w:right w:val="nil"/>
            </w:tcBorders>
            <w:shd w:val="clear" w:color="auto" w:fill="FFFFFF"/>
            <w:vAlign w:val="center"/>
          </w:tcPr>
          <w:p w14:paraId="767E95BF" w14:textId="77777777" w:rsidR="00B764FC" w:rsidRDefault="00B764FC">
            <w:pPr>
              <w:spacing w:before="60"/>
              <w:jc w:val="center"/>
              <w:rPr>
                <w:sz w:val="20"/>
                <w:szCs w:val="20"/>
              </w:rPr>
            </w:pPr>
          </w:p>
        </w:tc>
        <w:tc>
          <w:tcPr>
            <w:tcW w:w="1134" w:type="dxa"/>
            <w:tcBorders>
              <w:top w:val="nil"/>
              <w:left w:val="nil"/>
              <w:right w:val="nil"/>
            </w:tcBorders>
            <w:shd w:val="clear" w:color="auto" w:fill="FFFFFF"/>
            <w:vAlign w:val="center"/>
          </w:tcPr>
          <w:p w14:paraId="7143C41C" w14:textId="77777777" w:rsidR="00B764FC" w:rsidRDefault="00B764FC">
            <w:pPr>
              <w:spacing w:before="60"/>
              <w:ind w:right="131"/>
              <w:jc w:val="center"/>
              <w:rPr>
                <w:sz w:val="20"/>
                <w:szCs w:val="20"/>
              </w:rPr>
            </w:pPr>
          </w:p>
        </w:tc>
        <w:tc>
          <w:tcPr>
            <w:tcW w:w="3119" w:type="dxa"/>
            <w:tcBorders>
              <w:left w:val="nil"/>
              <w:right w:val="nil"/>
            </w:tcBorders>
            <w:shd w:val="clear" w:color="auto" w:fill="FFFFFF"/>
            <w:vAlign w:val="center"/>
          </w:tcPr>
          <w:p w14:paraId="4FC74C99" w14:textId="77777777" w:rsidR="00B764FC" w:rsidRDefault="00B764FC">
            <w:pPr>
              <w:spacing w:before="60"/>
              <w:rPr>
                <w:snapToGrid w:val="0"/>
                <w:color w:val="000000"/>
                <w:sz w:val="20"/>
                <w:szCs w:val="20"/>
              </w:rPr>
            </w:pPr>
            <w:r>
              <w:rPr>
                <w:snapToGrid w:val="0"/>
                <w:color w:val="000000"/>
                <w:sz w:val="20"/>
                <w:szCs w:val="20"/>
              </w:rPr>
              <w:t>YWCA Housing</w:t>
            </w:r>
          </w:p>
        </w:tc>
        <w:tc>
          <w:tcPr>
            <w:tcW w:w="1134" w:type="dxa"/>
            <w:tcBorders>
              <w:left w:val="nil"/>
              <w:right w:val="nil"/>
            </w:tcBorders>
            <w:shd w:val="clear" w:color="auto" w:fill="FFFFFF"/>
            <w:vAlign w:val="center"/>
          </w:tcPr>
          <w:p w14:paraId="2BD26F1D" w14:textId="77777777" w:rsidR="00B764FC" w:rsidRDefault="00B764FC">
            <w:pPr>
              <w:spacing w:before="60"/>
              <w:ind w:right="131"/>
              <w:jc w:val="center"/>
              <w:rPr>
                <w:sz w:val="20"/>
                <w:szCs w:val="20"/>
              </w:rPr>
            </w:pPr>
            <w:r>
              <w:rPr>
                <w:sz w:val="20"/>
                <w:szCs w:val="20"/>
              </w:rPr>
              <w:t>6</w:t>
            </w:r>
          </w:p>
        </w:tc>
      </w:tr>
    </w:tbl>
    <w:p w14:paraId="0DE7DF9E" w14:textId="77777777" w:rsidR="00B764FC" w:rsidRDefault="00B764FC">
      <w:pPr>
        <w:spacing w:line="276" w:lineRule="auto"/>
      </w:pPr>
      <w:r>
        <w:rPr>
          <w:i/>
          <w:iCs/>
          <w:sz w:val="20"/>
          <w:szCs w:val="20"/>
        </w:rPr>
        <w:t>Source</w:t>
      </w:r>
      <w:r>
        <w:rPr>
          <w:sz w:val="20"/>
          <w:szCs w:val="20"/>
        </w:rPr>
        <w:t>:</w:t>
      </w:r>
      <w:r>
        <w:rPr>
          <w:sz w:val="20"/>
          <w:szCs w:val="20"/>
        </w:rPr>
        <w:tab/>
        <w:t>Department of Treasury and Finance, 2018</w:t>
      </w:r>
    </w:p>
    <w:p w14:paraId="137A6C58" w14:textId="77777777" w:rsidR="00B764FC" w:rsidRDefault="00B764FC">
      <w:pPr>
        <w:spacing w:before="240" w:after="240" w:line="276" w:lineRule="auto"/>
        <w:jc w:val="both"/>
        <w:rPr>
          <w:sz w:val="22"/>
          <w:szCs w:val="22"/>
        </w:rPr>
      </w:pPr>
      <w:r>
        <w:rPr>
          <w:sz w:val="22"/>
          <w:szCs w:val="22"/>
        </w:rPr>
        <w:t>The majority of community housing is provided as single dwellings for families, however some Agencies provide social housing for particular target groups:</w:t>
      </w:r>
    </w:p>
    <w:p w14:paraId="5A9B2B6F"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b/>
          <w:bCs/>
          <w:sz w:val="22"/>
          <w:szCs w:val="22"/>
        </w:rPr>
        <w:t>Common Equity Housing Limited</w:t>
      </w:r>
      <w:r>
        <w:rPr>
          <w:sz w:val="22"/>
          <w:szCs w:val="22"/>
        </w:rPr>
        <w:t xml:space="preserve"> is the largest agency operating in Geelong with 297 properties (30% of community housing properties).  These are all long term, and are provided in most Areas.  Common Equity Housing Limited is the predominant provider on the Bellarine Peninsula</w:t>
      </w:r>
    </w:p>
    <w:p w14:paraId="0DDE1566"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The other major agency is </w:t>
      </w:r>
      <w:r>
        <w:rPr>
          <w:b/>
          <w:bCs/>
          <w:sz w:val="22"/>
          <w:szCs w:val="22"/>
        </w:rPr>
        <w:t>Loddon Mallee Housing Services</w:t>
      </w:r>
      <w:r>
        <w:rPr>
          <w:sz w:val="22"/>
          <w:szCs w:val="22"/>
        </w:rPr>
        <w:t xml:space="preserve"> with 153 properties (15.4%).  All properties are long term, and most are in Areas 6 and 9</w:t>
      </w:r>
    </w:p>
    <w:p w14:paraId="1BE795E4"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The </w:t>
      </w:r>
      <w:r>
        <w:rPr>
          <w:b/>
          <w:bCs/>
          <w:sz w:val="22"/>
          <w:szCs w:val="22"/>
        </w:rPr>
        <w:t>Salvation Army</w:t>
      </w:r>
      <w:r>
        <w:rPr>
          <w:sz w:val="22"/>
          <w:szCs w:val="22"/>
        </w:rPr>
        <w:t xml:space="preserve"> has 102 social housing properties and provides transitional housing (66 properties), crisis accommodation (20 properties), a rooming house, and 15 long term stand-alone properties</w:t>
      </w:r>
    </w:p>
    <w:p w14:paraId="1E6E0946"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b/>
          <w:bCs/>
          <w:sz w:val="22"/>
          <w:szCs w:val="22"/>
        </w:rPr>
        <w:t>Aboriginal Housing Victoria</w:t>
      </w:r>
      <w:r>
        <w:rPr>
          <w:sz w:val="22"/>
          <w:szCs w:val="22"/>
        </w:rPr>
        <w:t xml:space="preserve"> provides 85 long term properties, with about half of these in Corio Norlane</w:t>
      </w:r>
    </w:p>
    <w:p w14:paraId="7E6673CE"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b/>
          <w:bCs/>
          <w:sz w:val="22"/>
          <w:szCs w:val="22"/>
        </w:rPr>
        <w:t>Wintringham</w:t>
      </w:r>
      <w:r>
        <w:rPr>
          <w:sz w:val="22"/>
          <w:szCs w:val="22"/>
        </w:rPr>
        <w:t xml:space="preserve"> has 70 properties in three Areas – Area 7 (46 properties), 8 (10 properties), and 9 (14 properties).  Wintringham focuses on aged care for people at risk of homelessness</w:t>
      </w:r>
    </w:p>
    <w:p w14:paraId="3B759A93"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b/>
          <w:bCs/>
          <w:sz w:val="22"/>
          <w:szCs w:val="22"/>
        </w:rPr>
        <w:t>Baptcare</w:t>
      </w:r>
      <w:r>
        <w:rPr>
          <w:sz w:val="22"/>
          <w:szCs w:val="22"/>
        </w:rPr>
        <w:t xml:space="preserve"> has developed 52 affordable properties in Corio Norlane, adjacent to a 90 bed concessional residential aged care facility</w:t>
      </w:r>
    </w:p>
    <w:p w14:paraId="29B7D33E"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b/>
          <w:bCs/>
          <w:sz w:val="22"/>
          <w:szCs w:val="22"/>
        </w:rPr>
        <w:lastRenderedPageBreak/>
        <w:t>BAYSA Limited</w:t>
      </w:r>
      <w:r>
        <w:rPr>
          <w:sz w:val="22"/>
          <w:szCs w:val="22"/>
        </w:rPr>
        <w:t xml:space="preserve"> provides 49 transitional properties for young people, across several Areas, with the majority in Corio and Norlane</w:t>
      </w:r>
    </w:p>
    <w:p w14:paraId="0C2FC333"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b/>
          <w:bCs/>
          <w:sz w:val="22"/>
          <w:szCs w:val="22"/>
        </w:rPr>
        <w:t>Housing Choices</w:t>
      </w:r>
      <w:r>
        <w:rPr>
          <w:sz w:val="22"/>
          <w:szCs w:val="22"/>
        </w:rPr>
        <w:t xml:space="preserve"> has 42 properties accommodating 52 tenancies in Whittington, Corio Norlane, Newtown and Marshall</w:t>
      </w:r>
    </w:p>
    <w:p w14:paraId="1F602E8E"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Four agencies have very few properties - </w:t>
      </w:r>
      <w:r>
        <w:rPr>
          <w:b/>
          <w:bCs/>
          <w:sz w:val="22"/>
          <w:szCs w:val="22"/>
        </w:rPr>
        <w:t>Active Community Housing, Uniting Housing Australia, VincentCare Community Housing, and YWCA Housing</w:t>
      </w:r>
    </w:p>
    <w:p w14:paraId="47E6CBD0"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The majority of community housing properties (86%) are for </w:t>
      </w:r>
      <w:r>
        <w:rPr>
          <w:b/>
          <w:bCs/>
          <w:sz w:val="22"/>
          <w:szCs w:val="22"/>
        </w:rPr>
        <w:t>long term accommodation</w:t>
      </w:r>
    </w:p>
    <w:p w14:paraId="7C25B650"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 xml:space="preserve">There are </w:t>
      </w:r>
      <w:r>
        <w:rPr>
          <w:b/>
          <w:bCs/>
          <w:sz w:val="22"/>
          <w:szCs w:val="22"/>
        </w:rPr>
        <w:t>155 transitional housing properties</w:t>
      </w:r>
      <w:r>
        <w:rPr>
          <w:sz w:val="22"/>
          <w:szCs w:val="22"/>
        </w:rPr>
        <w:t>, provided by The Salvation Army (66 properties) and BAYSA (49 properties)</w:t>
      </w:r>
    </w:p>
    <w:p w14:paraId="4DD00D67" w14:textId="77777777" w:rsidR="00B764FC" w:rsidRDefault="00B764FC" w:rsidP="00077040">
      <w:pPr>
        <w:pStyle w:val="ListParagraph"/>
        <w:numPr>
          <w:ilvl w:val="0"/>
          <w:numId w:val="38"/>
        </w:numPr>
        <w:tabs>
          <w:tab w:val="clear" w:pos="360"/>
          <w:tab w:val="num" w:pos="1418"/>
        </w:tabs>
        <w:spacing w:before="60" w:after="240" w:line="276" w:lineRule="auto"/>
        <w:ind w:left="567" w:hanging="425"/>
        <w:jc w:val="both"/>
        <w:rPr>
          <w:sz w:val="22"/>
          <w:szCs w:val="22"/>
        </w:rPr>
      </w:pPr>
      <w:r>
        <w:rPr>
          <w:sz w:val="22"/>
          <w:szCs w:val="22"/>
        </w:rPr>
        <w:t xml:space="preserve">All </w:t>
      </w:r>
      <w:r>
        <w:rPr>
          <w:b/>
          <w:bCs/>
          <w:sz w:val="22"/>
          <w:szCs w:val="22"/>
        </w:rPr>
        <w:t>crisis accommodation</w:t>
      </w:r>
      <w:r>
        <w:rPr>
          <w:sz w:val="22"/>
          <w:szCs w:val="22"/>
        </w:rPr>
        <w:t xml:space="preserve"> is provided by the Salvation Army and the Salvation Army provides one rooming house (14 beds)</w:t>
      </w:r>
      <w:r>
        <w:rPr>
          <w:rStyle w:val="FootnoteReference"/>
          <w:sz w:val="22"/>
          <w:szCs w:val="22"/>
        </w:rPr>
        <w:footnoteReference w:id="15"/>
      </w:r>
      <w:r>
        <w:rPr>
          <w:sz w:val="22"/>
          <w:szCs w:val="22"/>
        </w:rPr>
        <w:t>.</w:t>
      </w:r>
    </w:p>
    <w:p w14:paraId="419F0973" w14:textId="77777777" w:rsidR="00B764FC" w:rsidRDefault="00B764FC">
      <w:pPr>
        <w:spacing w:before="60" w:after="240" w:line="276" w:lineRule="auto"/>
        <w:jc w:val="both"/>
        <w:rPr>
          <w:b/>
          <w:bCs/>
          <w:sz w:val="22"/>
          <w:szCs w:val="22"/>
        </w:rPr>
      </w:pPr>
      <w:r>
        <w:rPr>
          <w:b/>
          <w:bCs/>
          <w:sz w:val="22"/>
          <w:szCs w:val="22"/>
        </w:rPr>
        <w:t>In summary:</w:t>
      </w:r>
    </w:p>
    <w:p w14:paraId="13FDC233" w14:textId="2B18C649" w:rsidR="00B764FC" w:rsidRDefault="00B764FC" w:rsidP="008F0933">
      <w:pPr>
        <w:pStyle w:val="ListParagraph"/>
        <w:spacing w:before="120" w:after="240" w:line="276" w:lineRule="auto"/>
        <w:ind w:left="0"/>
        <w:jc w:val="both"/>
        <w:rPr>
          <w:sz w:val="22"/>
          <w:szCs w:val="22"/>
        </w:rPr>
      </w:pPr>
      <w:r>
        <w:rPr>
          <w:sz w:val="22"/>
          <w:szCs w:val="22"/>
        </w:rPr>
        <w:t>Key issues related to the current supply of social hosing in Geelong include:</w:t>
      </w:r>
    </w:p>
    <w:p w14:paraId="090FEA5C" w14:textId="77777777" w:rsidR="00B764FC" w:rsidRDefault="00B764FC" w:rsidP="008F0933">
      <w:pPr>
        <w:pStyle w:val="ListParagraph"/>
        <w:numPr>
          <w:ilvl w:val="0"/>
          <w:numId w:val="48"/>
        </w:numPr>
        <w:spacing w:line="276" w:lineRule="auto"/>
        <w:jc w:val="both"/>
        <w:rPr>
          <w:sz w:val="22"/>
          <w:szCs w:val="22"/>
        </w:rPr>
      </w:pPr>
      <w:r>
        <w:rPr>
          <w:sz w:val="22"/>
          <w:szCs w:val="22"/>
        </w:rPr>
        <w:t>Social housing is</w:t>
      </w:r>
      <w:r>
        <w:rPr>
          <w:b/>
          <w:bCs/>
          <w:sz w:val="22"/>
          <w:szCs w:val="22"/>
        </w:rPr>
        <w:t xml:space="preserve"> </w:t>
      </w:r>
      <w:r>
        <w:rPr>
          <w:sz w:val="22"/>
          <w:szCs w:val="22"/>
        </w:rPr>
        <w:t>unevenly distributed across the municipality</w:t>
      </w:r>
    </w:p>
    <w:p w14:paraId="429E7801" w14:textId="1D6105DE" w:rsidR="00B764FC" w:rsidRDefault="007466F0" w:rsidP="008F0933">
      <w:pPr>
        <w:pStyle w:val="ListParagraph"/>
        <w:numPr>
          <w:ilvl w:val="0"/>
          <w:numId w:val="48"/>
        </w:numPr>
        <w:spacing w:line="276" w:lineRule="auto"/>
        <w:jc w:val="both"/>
        <w:rPr>
          <w:sz w:val="22"/>
          <w:szCs w:val="22"/>
        </w:rPr>
      </w:pPr>
      <w:r>
        <w:rPr>
          <w:sz w:val="22"/>
          <w:szCs w:val="22"/>
        </w:rPr>
        <w:t>A</w:t>
      </w:r>
      <w:r w:rsidR="00B764FC">
        <w:rPr>
          <w:sz w:val="22"/>
          <w:szCs w:val="22"/>
        </w:rPr>
        <w:t>pproximately 25% of current social housing stock is not being utilised</w:t>
      </w:r>
    </w:p>
    <w:p w14:paraId="546E9B20" w14:textId="77777777" w:rsidR="00B764FC" w:rsidRDefault="00B764FC" w:rsidP="008F0933">
      <w:pPr>
        <w:pStyle w:val="ListParagraph"/>
        <w:numPr>
          <w:ilvl w:val="0"/>
          <w:numId w:val="48"/>
        </w:numPr>
        <w:spacing w:line="276" w:lineRule="auto"/>
        <w:jc w:val="both"/>
        <w:rPr>
          <w:sz w:val="22"/>
          <w:szCs w:val="22"/>
        </w:rPr>
      </w:pPr>
      <w:r>
        <w:rPr>
          <w:sz w:val="22"/>
          <w:szCs w:val="22"/>
        </w:rPr>
        <w:t>Most social housing properties are standalone dwellings and there is very limited supply of ‘movable units’ or ‘multiple unit’ dwellings</w:t>
      </w:r>
    </w:p>
    <w:p w14:paraId="3241EF85" w14:textId="77777777" w:rsidR="00B764FC" w:rsidRDefault="00B764FC" w:rsidP="008F0933">
      <w:pPr>
        <w:pStyle w:val="ListParagraph"/>
        <w:numPr>
          <w:ilvl w:val="0"/>
          <w:numId w:val="48"/>
        </w:numPr>
        <w:spacing w:line="276" w:lineRule="auto"/>
        <w:jc w:val="both"/>
        <w:rPr>
          <w:sz w:val="22"/>
          <w:szCs w:val="22"/>
        </w:rPr>
      </w:pPr>
      <w:r>
        <w:rPr>
          <w:sz w:val="22"/>
          <w:szCs w:val="22"/>
        </w:rPr>
        <w:t>Registered Housing Agencies currently manage 994 community housing properties in Geelong, which accommodate 1,148 households</w:t>
      </w:r>
      <w:r>
        <w:rPr>
          <w:rStyle w:val="FootnoteReference"/>
          <w:sz w:val="22"/>
          <w:szCs w:val="22"/>
        </w:rPr>
        <w:footnoteReference w:id="16"/>
      </w:r>
    </w:p>
    <w:p w14:paraId="268E9371" w14:textId="77777777" w:rsidR="00B764FC" w:rsidRDefault="00B764FC">
      <w:pPr>
        <w:spacing w:before="60" w:after="240" w:line="276" w:lineRule="auto"/>
        <w:ind w:left="142"/>
        <w:jc w:val="both"/>
        <w:rPr>
          <w:sz w:val="22"/>
          <w:szCs w:val="22"/>
        </w:rPr>
      </w:pPr>
    </w:p>
    <w:p w14:paraId="46BB0C86" w14:textId="77777777" w:rsidR="00B764FC" w:rsidRDefault="00B764FC">
      <w:pPr>
        <w:rPr>
          <w:rFonts w:ascii="Circular Std Book" w:hAnsi="Circular Std Book" w:cs="Circular Std Book"/>
          <w:b/>
          <w:bCs/>
          <w:color w:val="808080"/>
        </w:rPr>
      </w:pPr>
      <w:bookmarkStart w:id="122" w:name="_Toc17355224"/>
      <w:bookmarkStart w:id="123" w:name="_Toc17477442"/>
      <w:r>
        <w:br w:type="page"/>
      </w:r>
    </w:p>
    <w:p w14:paraId="10DC4C8C" w14:textId="58C7E580" w:rsidR="00B764FC" w:rsidRPr="00311ACE" w:rsidRDefault="00B764FC" w:rsidP="00077040">
      <w:pPr>
        <w:pStyle w:val="Heading1"/>
        <w:numPr>
          <w:ilvl w:val="0"/>
          <w:numId w:val="14"/>
        </w:numPr>
        <w:rPr>
          <w:color w:val="002060"/>
        </w:rPr>
      </w:pPr>
      <w:bookmarkStart w:id="124" w:name="_Toc22120180"/>
      <w:r w:rsidRPr="00311ACE">
        <w:rPr>
          <w:color w:val="002060"/>
        </w:rPr>
        <w:lastRenderedPageBreak/>
        <w:t>Who are the organisations delivering social housing in Geelong?</w:t>
      </w:r>
      <w:bookmarkEnd w:id="124"/>
    </w:p>
    <w:p w14:paraId="6E713E7E" w14:textId="77777777" w:rsidR="00B764FC" w:rsidRDefault="00B764FC"/>
    <w:p w14:paraId="09776B5A" w14:textId="77777777" w:rsidR="00B764FC" w:rsidRDefault="00B764FC">
      <w:pPr>
        <w:spacing w:after="240" w:line="276" w:lineRule="auto"/>
        <w:jc w:val="both"/>
        <w:rPr>
          <w:sz w:val="22"/>
          <w:szCs w:val="22"/>
        </w:rPr>
      </w:pPr>
      <w:r>
        <w:rPr>
          <w:sz w:val="22"/>
          <w:szCs w:val="22"/>
        </w:rPr>
        <w:t xml:space="preserve">This Section explores the current organisations that own and manage social housing in Geelong. The Section helps to answer the question ‘what opportunities do these organisations offer to the City of Greater Geelong to help increase the supply of social housing in Geelong’? </w:t>
      </w:r>
    </w:p>
    <w:p w14:paraId="455E0DAC" w14:textId="3DE7FA77" w:rsidR="00B764FC" w:rsidRDefault="00B764FC">
      <w:pPr>
        <w:spacing w:after="240" w:line="276" w:lineRule="auto"/>
        <w:jc w:val="both"/>
        <w:rPr>
          <w:sz w:val="22"/>
          <w:szCs w:val="22"/>
        </w:rPr>
      </w:pPr>
      <w:r>
        <w:rPr>
          <w:sz w:val="22"/>
          <w:szCs w:val="22"/>
        </w:rPr>
        <w:t xml:space="preserve">As shown in Section 6, ‘Supply of Social Housing in Geelong’, the Department of Health and Human Services (DHHS) is the largest provider of social housing in Geelong.  In addition, there are several Registered Housing Agencies which own and manage community housing.  The future development of social housing will require that </w:t>
      </w:r>
      <w:r w:rsidR="007466F0">
        <w:rPr>
          <w:sz w:val="22"/>
          <w:szCs w:val="22"/>
        </w:rPr>
        <w:t xml:space="preserve">the City </w:t>
      </w:r>
      <w:r>
        <w:rPr>
          <w:sz w:val="22"/>
          <w:szCs w:val="22"/>
        </w:rPr>
        <w:t>work closely with both DHHS and Registered Housing Agencies.</w:t>
      </w:r>
    </w:p>
    <w:p w14:paraId="443F5F3E" w14:textId="77777777" w:rsidR="00B764FC" w:rsidRDefault="00B764FC">
      <w:pPr>
        <w:spacing w:after="240" w:line="276" w:lineRule="auto"/>
        <w:jc w:val="both"/>
        <w:rPr>
          <w:sz w:val="22"/>
          <w:szCs w:val="22"/>
        </w:rPr>
      </w:pPr>
      <w:r>
        <w:rPr>
          <w:sz w:val="22"/>
          <w:szCs w:val="22"/>
        </w:rPr>
        <w:t>Both Commonwealth and State Governments have designating Registered Housing Agencies as the preferred providers of social housing and therefore the recipients of supply side subsidies. Importantly, in Victoria, Housing Associations are the registered agencies that will have access to the greatest share of supply subsidies and will be able to implement growth strategies rather than individual projects.</w:t>
      </w:r>
    </w:p>
    <w:p w14:paraId="4E35AC9B" w14:textId="6AF81F45" w:rsidR="00B764FC" w:rsidRDefault="00B764FC">
      <w:pPr>
        <w:pStyle w:val="Heading2"/>
      </w:pPr>
      <w:bookmarkStart w:id="125" w:name="_Toc22120181"/>
      <w:bookmarkStart w:id="126" w:name="_Toc17355222"/>
      <w:r>
        <w:t>8.1</w:t>
      </w:r>
      <w:r>
        <w:tab/>
        <w:t xml:space="preserve">What are the opportunities for the State Government to work </w:t>
      </w:r>
      <w:r w:rsidR="00311ACE">
        <w:br/>
        <w:t xml:space="preserve">           </w:t>
      </w:r>
      <w:r>
        <w:t>with Council?</w:t>
      </w:r>
      <w:bookmarkEnd w:id="125"/>
    </w:p>
    <w:p w14:paraId="7C2BA367" w14:textId="77777777" w:rsidR="00B764FC" w:rsidRDefault="00B764FC">
      <w:pPr>
        <w:spacing w:before="240" w:after="240" w:line="276" w:lineRule="auto"/>
        <w:jc w:val="both"/>
        <w:rPr>
          <w:sz w:val="22"/>
          <w:szCs w:val="22"/>
        </w:rPr>
      </w:pPr>
      <w:r>
        <w:rPr>
          <w:sz w:val="22"/>
          <w:szCs w:val="22"/>
        </w:rPr>
        <w:t>The role of DHHS specifically, and the State Government in social housing policy generally, is crucial to the future supply of social housing in Geelong.</w:t>
      </w:r>
    </w:p>
    <w:p w14:paraId="3128923E" w14:textId="77777777" w:rsidR="00B764FC" w:rsidRDefault="00B764FC">
      <w:pPr>
        <w:spacing w:after="240" w:line="276" w:lineRule="auto"/>
        <w:jc w:val="both"/>
        <w:rPr>
          <w:sz w:val="22"/>
          <w:szCs w:val="22"/>
        </w:rPr>
      </w:pPr>
      <w:r>
        <w:rPr>
          <w:sz w:val="22"/>
          <w:szCs w:val="22"/>
        </w:rPr>
        <w:t xml:space="preserve">The State Government </w:t>
      </w:r>
      <w:r>
        <w:rPr>
          <w:i/>
          <w:iCs/>
          <w:sz w:val="22"/>
          <w:szCs w:val="22"/>
        </w:rPr>
        <w:t>Homes for Victorians</w:t>
      </w:r>
      <w:r>
        <w:rPr>
          <w:sz w:val="22"/>
          <w:szCs w:val="22"/>
        </w:rPr>
        <w:t xml:space="preserve"> program sets the highest priority for public housing as the redevelopment of aging public housing estates and the renewal of public housing communities which are affected by high concentrations of disadvantage and related social problems.</w:t>
      </w:r>
    </w:p>
    <w:p w14:paraId="7C7F16AF" w14:textId="77777777" w:rsidR="00B764FC" w:rsidRDefault="00B764FC">
      <w:pPr>
        <w:spacing w:after="240" w:line="276" w:lineRule="auto"/>
        <w:jc w:val="both"/>
        <w:rPr>
          <w:sz w:val="22"/>
          <w:szCs w:val="22"/>
        </w:rPr>
      </w:pPr>
      <w:r>
        <w:rPr>
          <w:sz w:val="22"/>
          <w:szCs w:val="22"/>
        </w:rPr>
        <w:t xml:space="preserve">The </w:t>
      </w:r>
      <w:r>
        <w:rPr>
          <w:i/>
          <w:iCs/>
          <w:sz w:val="22"/>
          <w:szCs w:val="22"/>
        </w:rPr>
        <w:t>Public Housing Renewal Program</w:t>
      </w:r>
      <w:r>
        <w:rPr>
          <w:sz w:val="22"/>
          <w:szCs w:val="22"/>
        </w:rPr>
        <w:t xml:space="preserve"> aims to redevelop approximately 2,500 public housing dwellings across Victoria with a minimum of 10% increase in the total number of social housing dwellings.</w:t>
      </w:r>
      <w:r>
        <w:rPr>
          <w:rStyle w:val="FootnoteReference"/>
          <w:sz w:val="22"/>
          <w:szCs w:val="22"/>
        </w:rPr>
        <w:footnoteReference w:id="17"/>
      </w:r>
      <w:r>
        <w:rPr>
          <w:sz w:val="22"/>
          <w:szCs w:val="22"/>
        </w:rPr>
        <w:t xml:space="preserve"> Geelong does not appear to be under consideration for the Public Housing Renewal Program despite the fact that more than 50% of Geelong’s public housing is concentrated in three suburbs (Corio, Norlane and Whittington) and more than 50% of these dwellings are either beyond or close to the end of their economic life. </w:t>
      </w:r>
    </w:p>
    <w:p w14:paraId="32962053" w14:textId="77777777" w:rsidR="00B764FC" w:rsidRDefault="00B764FC">
      <w:pPr>
        <w:spacing w:after="240" w:line="276" w:lineRule="auto"/>
        <w:jc w:val="both"/>
        <w:rPr>
          <w:sz w:val="22"/>
          <w:szCs w:val="22"/>
        </w:rPr>
      </w:pPr>
      <w:r>
        <w:rPr>
          <w:sz w:val="22"/>
          <w:szCs w:val="22"/>
        </w:rPr>
        <w:t>While previous neighbourhood renewal programs have brought improvements to Corio, Norlane and Whittington, market forces have been insufficient to complete the process of renewal.</w:t>
      </w:r>
      <w:r>
        <w:rPr>
          <w:rStyle w:val="FootnoteReference"/>
          <w:sz w:val="22"/>
          <w:szCs w:val="22"/>
        </w:rPr>
        <w:footnoteReference w:id="18"/>
      </w:r>
      <w:r>
        <w:rPr>
          <w:sz w:val="22"/>
          <w:szCs w:val="22"/>
        </w:rPr>
        <w:t xml:space="preserve"> The State Government has unfinished business in these areas. </w:t>
      </w:r>
    </w:p>
    <w:p w14:paraId="4462E798" w14:textId="77777777" w:rsidR="00B764FC" w:rsidRDefault="00B764FC">
      <w:pPr>
        <w:spacing w:line="276" w:lineRule="auto"/>
        <w:jc w:val="both"/>
        <w:rPr>
          <w:sz w:val="22"/>
          <w:szCs w:val="22"/>
        </w:rPr>
      </w:pPr>
      <w:r>
        <w:rPr>
          <w:sz w:val="22"/>
          <w:szCs w:val="22"/>
        </w:rPr>
        <w:t>In 2016 a proposal was presented to DHHS by a Registered Housing Association (RHA) to continue the process of community renewal in Norlane based around the following four key strategies:</w:t>
      </w:r>
    </w:p>
    <w:p w14:paraId="215B8B16"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lastRenderedPageBreak/>
        <w:t>Providing assistance to those in greatest need from the Norlane community (particularly the elderly)</w:t>
      </w:r>
    </w:p>
    <w:p w14:paraId="4FF38ECD"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Delivering a tenant focused place-based management service to help ensure best housing outcomes for each household</w:t>
      </w:r>
    </w:p>
    <w:p w14:paraId="4DBA3712"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Improving both neighbourhood amenity and the quality of public housing by building new social and private housing on public housing sites and implementing an improvement program for existing public housing</w:t>
      </w:r>
    </w:p>
    <w:p w14:paraId="7BDF9D41" w14:textId="77777777" w:rsidR="00B764FC" w:rsidRDefault="00B764FC" w:rsidP="00077040">
      <w:pPr>
        <w:pStyle w:val="ListParagraph"/>
        <w:numPr>
          <w:ilvl w:val="0"/>
          <w:numId w:val="38"/>
        </w:numPr>
        <w:tabs>
          <w:tab w:val="clear" w:pos="360"/>
          <w:tab w:val="num" w:pos="1418"/>
        </w:tabs>
        <w:spacing w:before="60" w:after="240" w:line="276" w:lineRule="auto"/>
        <w:ind w:left="567" w:hanging="425"/>
        <w:jc w:val="both"/>
        <w:rPr>
          <w:sz w:val="22"/>
          <w:szCs w:val="22"/>
        </w:rPr>
      </w:pPr>
      <w:r>
        <w:rPr>
          <w:sz w:val="22"/>
          <w:szCs w:val="22"/>
        </w:rPr>
        <w:t>Financial investment targeted to the above three strategies to achieve the overall goal of strengthening the community and ensuring long term sustainability.</w:t>
      </w:r>
    </w:p>
    <w:p w14:paraId="4CA0C026" w14:textId="77777777" w:rsidR="00B764FC" w:rsidRDefault="00B764FC">
      <w:pPr>
        <w:spacing w:line="276" w:lineRule="auto"/>
        <w:jc w:val="both"/>
        <w:rPr>
          <w:sz w:val="22"/>
          <w:szCs w:val="22"/>
        </w:rPr>
      </w:pPr>
      <w:r>
        <w:rPr>
          <w:sz w:val="22"/>
          <w:szCs w:val="22"/>
        </w:rPr>
        <w:t>This approach was based on internationally recognised good practice, and presented a commercially viable option for DHHS.  DHHS was required to:</w:t>
      </w:r>
    </w:p>
    <w:p w14:paraId="4DF83D42" w14:textId="77777777" w:rsidR="00B764FC" w:rsidRDefault="00B764FC" w:rsidP="00077040">
      <w:pPr>
        <w:pStyle w:val="ListParagraph"/>
        <w:numPr>
          <w:ilvl w:val="0"/>
          <w:numId w:val="38"/>
        </w:numPr>
        <w:tabs>
          <w:tab w:val="clear" w:pos="360"/>
          <w:tab w:val="num" w:pos="1418"/>
        </w:tabs>
        <w:spacing w:before="60" w:line="276" w:lineRule="auto"/>
        <w:ind w:left="567" w:hanging="425"/>
        <w:jc w:val="both"/>
        <w:rPr>
          <w:sz w:val="22"/>
          <w:szCs w:val="22"/>
        </w:rPr>
      </w:pPr>
      <w:r>
        <w:rPr>
          <w:sz w:val="22"/>
          <w:szCs w:val="22"/>
        </w:rPr>
        <w:t>Transfer vacant lots (where public housing had been demolished) to the RHA for redevelopment as private and new social housing with a number of the social housing dwellings returned to DHHS in payment for the land; and</w:t>
      </w:r>
    </w:p>
    <w:p w14:paraId="4752E372" w14:textId="77777777" w:rsidR="00B764FC" w:rsidRDefault="00B764FC" w:rsidP="00077040">
      <w:pPr>
        <w:pStyle w:val="ListParagraph"/>
        <w:numPr>
          <w:ilvl w:val="0"/>
          <w:numId w:val="38"/>
        </w:numPr>
        <w:tabs>
          <w:tab w:val="clear" w:pos="360"/>
          <w:tab w:val="num" w:pos="1418"/>
        </w:tabs>
        <w:spacing w:before="60" w:after="240" w:line="276" w:lineRule="auto"/>
        <w:ind w:left="567" w:hanging="425"/>
        <w:jc w:val="both"/>
        <w:rPr>
          <w:sz w:val="22"/>
          <w:szCs w:val="22"/>
        </w:rPr>
      </w:pPr>
      <w:r>
        <w:rPr>
          <w:sz w:val="22"/>
          <w:szCs w:val="22"/>
        </w:rPr>
        <w:t>Enter a 10 year management agreement on all of the other public housing in Norlane (approximately 400 dwellings) under which the RHA would assume responsibility for all costs and commit to an improvements program to be implemented over 3 years.</w:t>
      </w:r>
    </w:p>
    <w:p w14:paraId="51EC576B" w14:textId="77777777" w:rsidR="00B764FC" w:rsidRDefault="00B764FC">
      <w:pPr>
        <w:spacing w:after="240" w:line="276" w:lineRule="auto"/>
        <w:jc w:val="both"/>
        <w:rPr>
          <w:sz w:val="22"/>
          <w:szCs w:val="22"/>
        </w:rPr>
      </w:pPr>
      <w:r>
        <w:rPr>
          <w:i/>
          <w:iCs/>
          <w:sz w:val="22"/>
          <w:szCs w:val="22"/>
        </w:rPr>
        <w:t>Homes for Victorians</w:t>
      </w:r>
      <w:r>
        <w:rPr>
          <w:sz w:val="22"/>
          <w:szCs w:val="22"/>
        </w:rPr>
        <w:t xml:space="preserve"> might provide an opportunity to renew this initiative, potentially based on a three-way partnership involving DHHS, Council and a Registered Housing Association, facilitated by the new emphasis on encouraging participation by local government, and developing strategic partnerships to grow the supply of social housing.</w:t>
      </w:r>
    </w:p>
    <w:p w14:paraId="72E276E4" w14:textId="07807D54" w:rsidR="00183A11" w:rsidRDefault="00B764FC">
      <w:pPr>
        <w:spacing w:line="276" w:lineRule="auto"/>
        <w:jc w:val="both"/>
        <w:rPr>
          <w:sz w:val="22"/>
          <w:szCs w:val="22"/>
        </w:rPr>
      </w:pPr>
      <w:r>
        <w:rPr>
          <w:sz w:val="22"/>
          <w:szCs w:val="22"/>
        </w:rPr>
        <w:t xml:space="preserve">Without </w:t>
      </w:r>
      <w:r w:rsidR="007466F0">
        <w:rPr>
          <w:sz w:val="22"/>
          <w:szCs w:val="22"/>
        </w:rPr>
        <w:t xml:space="preserve">the City’s </w:t>
      </w:r>
      <w:r>
        <w:rPr>
          <w:sz w:val="22"/>
          <w:szCs w:val="22"/>
        </w:rPr>
        <w:t>leadership, it is unlikely the renewal of Geelong suburbs, with high concentrations of social housing, will occur.</w:t>
      </w:r>
    </w:p>
    <w:p w14:paraId="58EE9076" w14:textId="77777777" w:rsidR="00183A11" w:rsidRDefault="00183A11">
      <w:pPr>
        <w:autoSpaceDE/>
        <w:autoSpaceDN/>
        <w:rPr>
          <w:sz w:val="22"/>
          <w:szCs w:val="22"/>
        </w:rPr>
      </w:pPr>
      <w:r>
        <w:rPr>
          <w:sz w:val="22"/>
          <w:szCs w:val="22"/>
        </w:rPr>
        <w:br w:type="page"/>
      </w:r>
    </w:p>
    <w:p w14:paraId="663AFACB" w14:textId="0FE97288" w:rsidR="00B764FC" w:rsidRDefault="00B764FC">
      <w:pPr>
        <w:pStyle w:val="Heading2"/>
        <w:ind w:left="720" w:hanging="720"/>
      </w:pPr>
      <w:bookmarkStart w:id="127" w:name="_Toc17477443"/>
      <w:bookmarkStart w:id="128" w:name="_Toc22120182"/>
      <w:r>
        <w:lastRenderedPageBreak/>
        <w:t>8.2</w:t>
      </w:r>
      <w:r>
        <w:tab/>
        <w:t xml:space="preserve">What are the opportunities for Council to work with </w:t>
      </w:r>
      <w:r w:rsidR="00311ACE">
        <w:br/>
      </w:r>
      <w:r>
        <w:t xml:space="preserve">Registered Housing </w:t>
      </w:r>
      <w:bookmarkEnd w:id="126"/>
      <w:bookmarkEnd w:id="127"/>
      <w:r>
        <w:t>Agencies?</w:t>
      </w:r>
      <w:bookmarkEnd w:id="128"/>
    </w:p>
    <w:p w14:paraId="7FB43DA5" w14:textId="77777777" w:rsidR="00B764FC" w:rsidRDefault="00B764FC">
      <w:pPr>
        <w:pStyle w:val="BodyText"/>
        <w:rPr>
          <w:rFonts w:ascii="Calibri" w:hAnsi="Calibri" w:cs="Calibri"/>
          <w:b/>
          <w:bCs/>
          <w:sz w:val="22"/>
          <w:szCs w:val="22"/>
        </w:rPr>
      </w:pPr>
      <w:r>
        <w:rPr>
          <w:rFonts w:ascii="Calibri" w:hAnsi="Calibri" w:cs="Calibri"/>
          <w:b/>
          <w:bCs/>
          <w:sz w:val="22"/>
          <w:szCs w:val="22"/>
        </w:rPr>
        <w:t>What are Registered Housing Agencies?</w:t>
      </w:r>
    </w:p>
    <w:p w14:paraId="40ADE577" w14:textId="77777777" w:rsidR="00B764FC" w:rsidRDefault="00B764FC">
      <w:pPr>
        <w:spacing w:before="240" w:after="240" w:line="276" w:lineRule="auto"/>
        <w:jc w:val="both"/>
        <w:rPr>
          <w:sz w:val="22"/>
          <w:szCs w:val="22"/>
        </w:rPr>
      </w:pPr>
      <w:r>
        <w:rPr>
          <w:sz w:val="22"/>
          <w:szCs w:val="22"/>
        </w:rPr>
        <w:t>Registered Housing Agencies are not-for-profit organisations that provide and/or manage affordable rental housing for low income households. They are registered under the Housing Act 1983 as either Housing Associations or Housing Providers and are regulated by the Victorian Registrar of Housing Agencies.</w:t>
      </w:r>
    </w:p>
    <w:p w14:paraId="6A48F040" w14:textId="77777777" w:rsidR="00B764FC" w:rsidRDefault="00B764FC">
      <w:pPr>
        <w:spacing w:after="240" w:line="276" w:lineRule="auto"/>
        <w:jc w:val="both"/>
        <w:rPr>
          <w:sz w:val="22"/>
          <w:szCs w:val="22"/>
        </w:rPr>
      </w:pPr>
      <w:r>
        <w:rPr>
          <w:sz w:val="22"/>
          <w:szCs w:val="22"/>
        </w:rPr>
        <w:t>Registered Housing Agencies seek to balance affordability for tenants and financial viability for the agency in a fair and transparent way. The rent paid by tenants enables Registered Housing Agencies to largely pay for the costs of maintaining and managing the agency’s rental housing.</w:t>
      </w:r>
    </w:p>
    <w:p w14:paraId="27E157C0" w14:textId="77777777" w:rsidR="00B764FC" w:rsidRDefault="00B764FC">
      <w:pPr>
        <w:spacing w:after="240" w:line="276" w:lineRule="auto"/>
        <w:jc w:val="both"/>
        <w:rPr>
          <w:b/>
          <w:bCs/>
          <w:sz w:val="22"/>
          <w:szCs w:val="22"/>
        </w:rPr>
      </w:pPr>
      <w:r>
        <w:rPr>
          <w:b/>
          <w:bCs/>
          <w:sz w:val="22"/>
          <w:szCs w:val="22"/>
        </w:rPr>
        <w:t>Registered Housing Associations</w:t>
      </w:r>
    </w:p>
    <w:p w14:paraId="0AF0331A" w14:textId="77777777" w:rsidR="00B764FC" w:rsidRDefault="00B764FC">
      <w:pPr>
        <w:spacing w:after="240" w:line="276" w:lineRule="auto"/>
        <w:jc w:val="both"/>
        <w:rPr>
          <w:sz w:val="22"/>
          <w:szCs w:val="22"/>
        </w:rPr>
      </w:pPr>
      <w:r>
        <w:rPr>
          <w:sz w:val="22"/>
          <w:szCs w:val="22"/>
        </w:rPr>
        <w:t xml:space="preserve">Registered Housing Associations are larger, more complex businesses with the skills, expertise and resources to manage, maintain and grow a viable social housing portfolio. They develop new housing through construction, purchase or acquisition, using a mix of government funds and private sector investment. </w:t>
      </w:r>
    </w:p>
    <w:p w14:paraId="3BE51176" w14:textId="77777777" w:rsidR="00B764FC" w:rsidRDefault="00B764FC">
      <w:pPr>
        <w:spacing w:after="240" w:line="276" w:lineRule="auto"/>
        <w:jc w:val="both"/>
        <w:rPr>
          <w:sz w:val="22"/>
          <w:szCs w:val="22"/>
        </w:rPr>
      </w:pPr>
      <w:r>
        <w:rPr>
          <w:sz w:val="22"/>
          <w:szCs w:val="22"/>
        </w:rPr>
        <w:t>RHA’s also manage housing properties owned by them or leased from other parties, such as the Director of Housing. Victorian Policy is that 75 percent of their social housing tenants must come from the Priority list of the Victorian Housing Register.  There are currently 10 Registered Housing Associations (RHA’s) in Victoria which own and manage affordable rental housing for lower income households.  Six RHAs currently operate in the City of Greater Geelong (refer to Section 6.4 for more details).</w:t>
      </w:r>
    </w:p>
    <w:p w14:paraId="5DDBAB5D" w14:textId="77777777" w:rsidR="00B764FC" w:rsidRDefault="00B764FC">
      <w:pPr>
        <w:spacing w:after="240" w:line="276" w:lineRule="auto"/>
        <w:jc w:val="both"/>
        <w:rPr>
          <w:sz w:val="22"/>
          <w:szCs w:val="22"/>
        </w:rPr>
      </w:pPr>
      <w:r>
        <w:rPr>
          <w:b/>
          <w:bCs/>
          <w:sz w:val="22"/>
          <w:szCs w:val="22"/>
        </w:rPr>
        <w:t>Business Model of Housing Associations</w:t>
      </w:r>
      <w:r>
        <w:rPr>
          <w:sz w:val="22"/>
          <w:szCs w:val="22"/>
        </w:rPr>
        <w:t xml:space="preserve"> </w:t>
      </w:r>
    </w:p>
    <w:p w14:paraId="4F4A0446" w14:textId="77777777" w:rsidR="00B764FC" w:rsidRDefault="00B764FC">
      <w:pPr>
        <w:spacing w:after="240" w:line="276" w:lineRule="auto"/>
        <w:jc w:val="both"/>
        <w:rPr>
          <w:sz w:val="22"/>
          <w:szCs w:val="22"/>
        </w:rPr>
      </w:pPr>
      <w:r>
        <w:rPr>
          <w:sz w:val="22"/>
          <w:szCs w:val="22"/>
        </w:rPr>
        <w:t>The business model of Housing Associations is different to most charitable organisations, and is based on three principles:</w:t>
      </w:r>
    </w:p>
    <w:p w14:paraId="6592C413" w14:textId="77777777" w:rsidR="00B764FC" w:rsidRDefault="00B764FC">
      <w:pPr>
        <w:spacing w:line="276" w:lineRule="auto"/>
        <w:ind w:left="567" w:hanging="283"/>
        <w:jc w:val="both"/>
        <w:rPr>
          <w:sz w:val="22"/>
          <w:szCs w:val="22"/>
        </w:rPr>
      </w:pPr>
      <w:r>
        <w:rPr>
          <w:sz w:val="22"/>
          <w:szCs w:val="22"/>
        </w:rPr>
        <w:t>-</w:t>
      </w:r>
      <w:r>
        <w:rPr>
          <w:sz w:val="22"/>
          <w:szCs w:val="22"/>
        </w:rPr>
        <w:tab/>
        <w:t>Each and every project must be financially viable. The cost of development or acquisition must be fully funded by a combination of equity, capital grants and debt.</w:t>
      </w:r>
    </w:p>
    <w:p w14:paraId="4A78F427" w14:textId="77777777" w:rsidR="00B764FC" w:rsidRDefault="00B764FC">
      <w:pPr>
        <w:spacing w:line="276" w:lineRule="auto"/>
        <w:ind w:left="567" w:hanging="283"/>
        <w:jc w:val="both"/>
        <w:rPr>
          <w:sz w:val="22"/>
          <w:szCs w:val="22"/>
        </w:rPr>
      </w:pPr>
      <w:r>
        <w:rPr>
          <w:sz w:val="22"/>
          <w:szCs w:val="22"/>
        </w:rPr>
        <w:t>-</w:t>
      </w:r>
      <w:r>
        <w:rPr>
          <w:sz w:val="22"/>
          <w:szCs w:val="22"/>
        </w:rPr>
        <w:tab/>
        <w:t>Each and every project must be financially sustainable. The costs of managing a dwelling over its lifetime (including lifecycle maintenance) and the costs of finance (if debt is part of the capital funding) must be fully funded by operating revenue. This implies that any shortfall between rental revenue and total operating costs must be met by an operating subsidy.</w:t>
      </w:r>
    </w:p>
    <w:p w14:paraId="1D3B618C" w14:textId="77777777" w:rsidR="00B764FC" w:rsidRDefault="00B764FC">
      <w:pPr>
        <w:spacing w:after="240" w:line="276" w:lineRule="auto"/>
        <w:ind w:left="567" w:hanging="283"/>
        <w:jc w:val="both"/>
        <w:rPr>
          <w:sz w:val="22"/>
          <w:szCs w:val="22"/>
        </w:rPr>
      </w:pPr>
      <w:r>
        <w:rPr>
          <w:sz w:val="22"/>
          <w:szCs w:val="22"/>
        </w:rPr>
        <w:t>-</w:t>
      </w:r>
      <w:r>
        <w:rPr>
          <w:sz w:val="22"/>
          <w:szCs w:val="22"/>
        </w:rPr>
        <w:tab/>
        <w:t>A Housing Association must build sufficient risk margins into its project feasibilities and annual budgets, to cover all risks and maintain sufficient liquidity to take up development opportunities as they arise.</w:t>
      </w:r>
    </w:p>
    <w:p w14:paraId="0A1A087C" w14:textId="77777777" w:rsidR="00B764FC" w:rsidRDefault="00B764FC">
      <w:pPr>
        <w:spacing w:line="276" w:lineRule="auto"/>
        <w:jc w:val="both"/>
      </w:pPr>
      <w:r>
        <w:rPr>
          <w:sz w:val="22"/>
          <w:szCs w:val="22"/>
        </w:rPr>
        <w:t>Housing Associations therefore have some similarities to private developers, except that they reinvest all surplus funds in future social housing and retain their properties in the social housing sector in perpetuity.</w:t>
      </w:r>
    </w:p>
    <w:p w14:paraId="23C4419C" w14:textId="5328F661" w:rsidR="00B764FC" w:rsidRDefault="00B764FC">
      <w:pPr>
        <w:spacing w:line="276" w:lineRule="auto"/>
        <w:rPr>
          <w:b/>
          <w:bCs/>
        </w:rPr>
      </w:pPr>
    </w:p>
    <w:p w14:paraId="6580C499" w14:textId="77777777" w:rsidR="00183A11" w:rsidRDefault="00183A11">
      <w:pPr>
        <w:spacing w:line="276" w:lineRule="auto"/>
        <w:rPr>
          <w:b/>
          <w:bCs/>
        </w:rPr>
      </w:pPr>
    </w:p>
    <w:p w14:paraId="3B15B8DE" w14:textId="77777777" w:rsidR="00B764FC" w:rsidRDefault="00B764FC">
      <w:pPr>
        <w:spacing w:after="240" w:line="276" w:lineRule="auto"/>
        <w:jc w:val="both"/>
        <w:rPr>
          <w:b/>
          <w:bCs/>
          <w:sz w:val="22"/>
          <w:szCs w:val="22"/>
        </w:rPr>
      </w:pPr>
      <w:r>
        <w:rPr>
          <w:b/>
          <w:bCs/>
          <w:sz w:val="22"/>
          <w:szCs w:val="22"/>
        </w:rPr>
        <w:lastRenderedPageBreak/>
        <w:t>Registered Housing Providers</w:t>
      </w:r>
    </w:p>
    <w:p w14:paraId="4B61E328" w14:textId="77777777" w:rsidR="00B764FC" w:rsidRDefault="00B764FC">
      <w:pPr>
        <w:spacing w:line="276" w:lineRule="auto"/>
        <w:jc w:val="both"/>
        <w:rPr>
          <w:sz w:val="22"/>
          <w:szCs w:val="22"/>
        </w:rPr>
      </w:pPr>
      <w:r>
        <w:rPr>
          <w:sz w:val="22"/>
          <w:szCs w:val="22"/>
        </w:rPr>
        <w:t>Registered Housing Providers primarily manage rental housing portfolios for other parties, such as the Director of Housing (DoH). Some housing providers own properties, however their growth is small scale compared with housing associations. Housing providers often specialise in particular client groups which may include disability housing, aged tenants and youth housing.</w:t>
      </w:r>
      <w:r>
        <w:rPr>
          <w:rStyle w:val="FootnoteReference"/>
          <w:sz w:val="22"/>
          <w:szCs w:val="22"/>
        </w:rPr>
        <w:footnoteReference w:id="19"/>
      </w:r>
      <w:r>
        <w:rPr>
          <w:sz w:val="22"/>
          <w:szCs w:val="22"/>
        </w:rPr>
        <w:t xml:space="preserve">  There are currently 29 Registered Housing Providers operating in Victoria. </w:t>
      </w:r>
    </w:p>
    <w:p w14:paraId="0E05A63B" w14:textId="77777777" w:rsidR="00B764FC" w:rsidRDefault="00B764FC">
      <w:pPr>
        <w:spacing w:line="276" w:lineRule="auto"/>
        <w:jc w:val="both"/>
        <w:rPr>
          <w:b/>
          <w:bCs/>
          <w:sz w:val="22"/>
          <w:szCs w:val="22"/>
        </w:rPr>
      </w:pPr>
    </w:p>
    <w:p w14:paraId="09C6DFBB" w14:textId="77777777" w:rsidR="00B764FC" w:rsidRDefault="00B764FC">
      <w:pPr>
        <w:spacing w:after="240" w:line="276" w:lineRule="auto"/>
        <w:jc w:val="both"/>
        <w:rPr>
          <w:b/>
          <w:bCs/>
          <w:sz w:val="22"/>
          <w:szCs w:val="22"/>
        </w:rPr>
      </w:pPr>
      <w:r>
        <w:rPr>
          <w:b/>
          <w:bCs/>
          <w:sz w:val="22"/>
          <w:szCs w:val="22"/>
        </w:rPr>
        <w:t>What is required of Registered Housing Associations in Geelong?</w:t>
      </w:r>
    </w:p>
    <w:p w14:paraId="2D81C88D" w14:textId="77777777" w:rsidR="00B764FC" w:rsidRDefault="00B764FC">
      <w:pPr>
        <w:spacing w:line="276" w:lineRule="auto"/>
        <w:jc w:val="both"/>
        <w:rPr>
          <w:sz w:val="22"/>
          <w:szCs w:val="22"/>
        </w:rPr>
      </w:pPr>
      <w:r>
        <w:rPr>
          <w:sz w:val="22"/>
          <w:szCs w:val="22"/>
        </w:rPr>
        <w:t>Increasing the number of social housing properties in the City of Greater Geelong necessarily requires that a Registered Housing Association develops and/or acquires properties for use by social housing tenants.  Registered Housing Associations will need to:</w:t>
      </w:r>
    </w:p>
    <w:p w14:paraId="66F784DD" w14:textId="77777777" w:rsidR="00B764FC" w:rsidRDefault="00B764FC">
      <w:pPr>
        <w:tabs>
          <w:tab w:val="left" w:pos="1843"/>
        </w:tabs>
        <w:spacing w:before="240" w:line="276" w:lineRule="auto"/>
        <w:ind w:left="851" w:hanging="567"/>
        <w:jc w:val="both"/>
        <w:rPr>
          <w:sz w:val="22"/>
          <w:szCs w:val="22"/>
        </w:rPr>
      </w:pPr>
      <w:r>
        <w:rPr>
          <w:sz w:val="22"/>
          <w:szCs w:val="22"/>
        </w:rPr>
        <w:t>-</w:t>
      </w:r>
      <w:r>
        <w:rPr>
          <w:sz w:val="22"/>
          <w:szCs w:val="22"/>
        </w:rPr>
        <w:tab/>
        <w:t>Obtain land at less than market price, with subsequent development by the RHA, and/or</w:t>
      </w:r>
    </w:p>
    <w:p w14:paraId="40B1029A" w14:textId="77777777" w:rsidR="00B764FC" w:rsidRDefault="00B764FC">
      <w:pPr>
        <w:tabs>
          <w:tab w:val="left" w:pos="1843"/>
        </w:tabs>
        <w:spacing w:line="276" w:lineRule="auto"/>
        <w:ind w:left="851" w:hanging="567"/>
        <w:jc w:val="both"/>
        <w:rPr>
          <w:sz w:val="22"/>
          <w:szCs w:val="22"/>
        </w:rPr>
      </w:pPr>
      <w:r>
        <w:rPr>
          <w:sz w:val="22"/>
          <w:szCs w:val="22"/>
        </w:rPr>
        <w:t>-</w:t>
      </w:r>
      <w:r>
        <w:rPr>
          <w:sz w:val="22"/>
          <w:szCs w:val="22"/>
        </w:rPr>
        <w:tab/>
        <w:t>Purchase completed dwellings at less than market price, for example from a developer.</w:t>
      </w:r>
    </w:p>
    <w:p w14:paraId="61BDB27F" w14:textId="77777777" w:rsidR="00B764FC" w:rsidRDefault="00B764FC">
      <w:pPr>
        <w:spacing w:line="276" w:lineRule="auto"/>
        <w:jc w:val="both"/>
        <w:rPr>
          <w:sz w:val="22"/>
          <w:szCs w:val="22"/>
        </w:rPr>
      </w:pPr>
    </w:p>
    <w:p w14:paraId="4575A933" w14:textId="77777777" w:rsidR="00B764FC" w:rsidRDefault="00B764FC">
      <w:pPr>
        <w:spacing w:line="276" w:lineRule="auto"/>
        <w:jc w:val="both"/>
        <w:rPr>
          <w:sz w:val="22"/>
          <w:szCs w:val="22"/>
        </w:rPr>
      </w:pPr>
      <w:r>
        <w:rPr>
          <w:sz w:val="22"/>
          <w:szCs w:val="22"/>
        </w:rPr>
        <w:t>RHAs may purchase properties from a developer as part of negotiated arrangements for including social housing, involving Council.  To ensure that the planned number of dwellings are used for social housing, and to provide developers with greater certainty, a Registered Housing Association will need to agree price, terms and conditions, for example as part of a Section 173 Agreement.  This may be challenging for some housing agencies in the absence of an ongoing reliable funding program.</w:t>
      </w:r>
    </w:p>
    <w:p w14:paraId="4DE8D50E" w14:textId="77777777" w:rsidR="00B764FC" w:rsidRDefault="00B764FC">
      <w:pPr>
        <w:spacing w:line="276" w:lineRule="auto"/>
        <w:jc w:val="both"/>
        <w:rPr>
          <w:sz w:val="22"/>
          <w:szCs w:val="22"/>
        </w:rPr>
      </w:pPr>
    </w:p>
    <w:p w14:paraId="78425785" w14:textId="77777777" w:rsidR="00B764FC" w:rsidRDefault="00B764FC">
      <w:pPr>
        <w:spacing w:line="276" w:lineRule="auto"/>
        <w:jc w:val="both"/>
        <w:rPr>
          <w:sz w:val="22"/>
          <w:szCs w:val="22"/>
        </w:rPr>
      </w:pPr>
      <w:r>
        <w:rPr>
          <w:sz w:val="22"/>
          <w:szCs w:val="22"/>
        </w:rPr>
        <w:t xml:space="preserve">For Council to effectively negotiate with developers, it will require an appropriate working relationship with one or more Registered Housing Associations, which understand local needs and context.  </w:t>
      </w:r>
    </w:p>
    <w:p w14:paraId="24247690" w14:textId="77777777" w:rsidR="00B764FC" w:rsidRDefault="00B764FC">
      <w:pPr>
        <w:spacing w:line="276" w:lineRule="auto"/>
        <w:jc w:val="both"/>
        <w:rPr>
          <w:sz w:val="22"/>
          <w:szCs w:val="22"/>
        </w:rPr>
      </w:pPr>
      <w:r>
        <w:rPr>
          <w:sz w:val="22"/>
          <w:szCs w:val="22"/>
        </w:rPr>
        <w:t>The challenge for the City of Greater Geelong will be to exercise greater control over the planned development of social housing, in a way which ensures that developments are implemented as planned.  This will require the City of Greater Geelong obtaining commitments from developers and RHAs which are secured by appropriate contractual and organisational arrangements.</w:t>
      </w:r>
    </w:p>
    <w:p w14:paraId="25E545DC" w14:textId="77777777" w:rsidR="00B764FC" w:rsidRDefault="00B764FC">
      <w:pPr>
        <w:spacing w:line="276" w:lineRule="auto"/>
        <w:jc w:val="both"/>
        <w:rPr>
          <w:b/>
          <w:bCs/>
          <w:sz w:val="22"/>
          <w:szCs w:val="22"/>
        </w:rPr>
      </w:pPr>
    </w:p>
    <w:p w14:paraId="67B5D0B3" w14:textId="77777777" w:rsidR="00B764FC" w:rsidRDefault="00B764FC">
      <w:pPr>
        <w:spacing w:after="240" w:line="276" w:lineRule="auto"/>
        <w:jc w:val="both"/>
        <w:rPr>
          <w:b/>
          <w:bCs/>
          <w:sz w:val="22"/>
          <w:szCs w:val="22"/>
        </w:rPr>
      </w:pPr>
      <w:r>
        <w:rPr>
          <w:b/>
          <w:bCs/>
          <w:sz w:val="22"/>
          <w:szCs w:val="22"/>
        </w:rPr>
        <w:t>What are the potential benefits of attracting a Registered Housing Association to Geelong?</w:t>
      </w:r>
    </w:p>
    <w:p w14:paraId="451463AE" w14:textId="77777777" w:rsidR="00B764FC" w:rsidRDefault="00B764FC">
      <w:pPr>
        <w:spacing w:after="240" w:line="276" w:lineRule="auto"/>
        <w:jc w:val="both"/>
        <w:rPr>
          <w:sz w:val="22"/>
          <w:szCs w:val="22"/>
        </w:rPr>
      </w:pPr>
      <w:r>
        <w:rPr>
          <w:sz w:val="22"/>
          <w:szCs w:val="22"/>
        </w:rPr>
        <w:t>One option is to establish a new Housing Association which is mainly Geelong focused, and which has its head office in Geelong. There are a number of potential benefits of a Geelong based Housing Association, including:</w:t>
      </w:r>
    </w:p>
    <w:p w14:paraId="3A40DF55" w14:textId="77777777" w:rsidR="00B764FC" w:rsidRDefault="00B764FC">
      <w:pPr>
        <w:tabs>
          <w:tab w:val="left" w:pos="1985"/>
        </w:tabs>
        <w:spacing w:line="276" w:lineRule="auto"/>
        <w:ind w:left="709" w:hanging="425"/>
        <w:jc w:val="both"/>
        <w:rPr>
          <w:sz w:val="22"/>
          <w:szCs w:val="22"/>
        </w:rPr>
      </w:pPr>
      <w:r>
        <w:rPr>
          <w:sz w:val="22"/>
          <w:szCs w:val="22"/>
        </w:rPr>
        <w:t>-</w:t>
      </w:r>
      <w:r>
        <w:rPr>
          <w:sz w:val="22"/>
          <w:szCs w:val="22"/>
        </w:rPr>
        <w:tab/>
        <w:t xml:space="preserve">A more planned approach to social housing including funding programs (which include multiple sites) </w:t>
      </w:r>
    </w:p>
    <w:p w14:paraId="65C4808A" w14:textId="77777777" w:rsidR="00B764FC" w:rsidRDefault="00B764FC">
      <w:pPr>
        <w:tabs>
          <w:tab w:val="left" w:pos="1985"/>
        </w:tabs>
        <w:spacing w:line="276" w:lineRule="auto"/>
        <w:ind w:left="709" w:hanging="425"/>
        <w:jc w:val="both"/>
        <w:rPr>
          <w:sz w:val="22"/>
          <w:szCs w:val="22"/>
        </w:rPr>
      </w:pPr>
      <w:r>
        <w:rPr>
          <w:sz w:val="22"/>
          <w:szCs w:val="22"/>
        </w:rPr>
        <w:t>-</w:t>
      </w:r>
      <w:r>
        <w:rPr>
          <w:sz w:val="22"/>
          <w:szCs w:val="22"/>
        </w:rPr>
        <w:tab/>
        <w:t>Greater understanding of local need for social housing, in terms of location, dwelling size etc.</w:t>
      </w:r>
    </w:p>
    <w:p w14:paraId="3E8424F8" w14:textId="77777777" w:rsidR="00B764FC" w:rsidRDefault="00B764FC">
      <w:pPr>
        <w:tabs>
          <w:tab w:val="left" w:pos="1985"/>
        </w:tabs>
        <w:spacing w:line="276" w:lineRule="auto"/>
        <w:ind w:left="709" w:hanging="425"/>
        <w:jc w:val="both"/>
        <w:rPr>
          <w:sz w:val="22"/>
          <w:szCs w:val="22"/>
        </w:rPr>
      </w:pPr>
      <w:r>
        <w:rPr>
          <w:sz w:val="22"/>
          <w:szCs w:val="22"/>
        </w:rPr>
        <w:t>-</w:t>
      </w:r>
      <w:r>
        <w:rPr>
          <w:sz w:val="22"/>
          <w:szCs w:val="22"/>
        </w:rPr>
        <w:tab/>
        <w:t>Greater certainty that funding for social housing would be kept in the Geelong Region</w:t>
      </w:r>
    </w:p>
    <w:p w14:paraId="6E8B1B14" w14:textId="77777777" w:rsidR="00B764FC" w:rsidRDefault="00B764FC">
      <w:pPr>
        <w:tabs>
          <w:tab w:val="left" w:pos="1985"/>
        </w:tabs>
        <w:spacing w:line="276" w:lineRule="auto"/>
        <w:ind w:left="709" w:hanging="425"/>
        <w:jc w:val="both"/>
        <w:rPr>
          <w:sz w:val="22"/>
          <w:szCs w:val="22"/>
        </w:rPr>
      </w:pPr>
      <w:r>
        <w:rPr>
          <w:sz w:val="22"/>
          <w:szCs w:val="22"/>
        </w:rPr>
        <w:lastRenderedPageBreak/>
        <w:t>-</w:t>
      </w:r>
      <w:r>
        <w:rPr>
          <w:sz w:val="22"/>
          <w:szCs w:val="22"/>
        </w:rPr>
        <w:tab/>
        <w:t>A greater focus on the Geelong region leading to the identification of more sites suitable for social housing</w:t>
      </w:r>
    </w:p>
    <w:p w14:paraId="699AB810" w14:textId="77777777" w:rsidR="00B764FC" w:rsidRDefault="00B764FC">
      <w:pPr>
        <w:tabs>
          <w:tab w:val="left" w:pos="1985"/>
        </w:tabs>
        <w:spacing w:line="276" w:lineRule="auto"/>
        <w:ind w:left="709" w:hanging="425"/>
        <w:jc w:val="both"/>
        <w:rPr>
          <w:sz w:val="22"/>
          <w:szCs w:val="22"/>
        </w:rPr>
      </w:pPr>
      <w:r>
        <w:rPr>
          <w:sz w:val="22"/>
          <w:szCs w:val="22"/>
        </w:rPr>
        <w:t>-</w:t>
      </w:r>
      <w:r>
        <w:rPr>
          <w:sz w:val="22"/>
          <w:szCs w:val="22"/>
        </w:rPr>
        <w:tab/>
        <w:t>A visible presence and influence, engendering greater community support</w:t>
      </w:r>
    </w:p>
    <w:p w14:paraId="6F9429EE" w14:textId="77777777" w:rsidR="00B764FC" w:rsidRDefault="00B764FC">
      <w:pPr>
        <w:tabs>
          <w:tab w:val="left" w:pos="1985"/>
        </w:tabs>
        <w:spacing w:line="276" w:lineRule="auto"/>
        <w:ind w:left="709" w:hanging="425"/>
        <w:jc w:val="both"/>
        <w:rPr>
          <w:sz w:val="22"/>
          <w:szCs w:val="22"/>
        </w:rPr>
      </w:pPr>
      <w:r>
        <w:rPr>
          <w:sz w:val="22"/>
          <w:szCs w:val="22"/>
        </w:rPr>
        <w:t>-</w:t>
      </w:r>
      <w:r>
        <w:rPr>
          <w:sz w:val="22"/>
          <w:szCs w:val="22"/>
        </w:rPr>
        <w:tab/>
        <w:t>An enhanced working relationship with local property developers, and local government</w:t>
      </w:r>
    </w:p>
    <w:p w14:paraId="221993C9" w14:textId="77777777" w:rsidR="00B764FC" w:rsidRDefault="00B764FC">
      <w:pPr>
        <w:tabs>
          <w:tab w:val="left" w:pos="1985"/>
        </w:tabs>
        <w:spacing w:line="276" w:lineRule="auto"/>
        <w:ind w:left="709" w:hanging="425"/>
        <w:jc w:val="both"/>
        <w:rPr>
          <w:sz w:val="22"/>
          <w:szCs w:val="22"/>
        </w:rPr>
      </w:pPr>
      <w:r>
        <w:rPr>
          <w:sz w:val="22"/>
          <w:szCs w:val="22"/>
        </w:rPr>
        <w:t>-</w:t>
      </w:r>
      <w:r>
        <w:rPr>
          <w:sz w:val="22"/>
          <w:szCs w:val="22"/>
        </w:rPr>
        <w:tab/>
        <w:t>An enhanced working relationship with DHHS</w:t>
      </w:r>
    </w:p>
    <w:p w14:paraId="4A475777" w14:textId="77777777" w:rsidR="00B764FC" w:rsidRDefault="00B764FC">
      <w:pPr>
        <w:tabs>
          <w:tab w:val="left" w:pos="1985"/>
        </w:tabs>
        <w:spacing w:after="240" w:line="276" w:lineRule="auto"/>
        <w:ind w:left="709" w:hanging="425"/>
        <w:jc w:val="both"/>
        <w:rPr>
          <w:sz w:val="22"/>
          <w:szCs w:val="22"/>
        </w:rPr>
      </w:pPr>
      <w:r>
        <w:rPr>
          <w:sz w:val="22"/>
          <w:szCs w:val="22"/>
        </w:rPr>
        <w:t>-</w:t>
      </w:r>
      <w:r>
        <w:rPr>
          <w:sz w:val="22"/>
          <w:szCs w:val="22"/>
        </w:rPr>
        <w:tab/>
        <w:t>Enhanced collaboration with a range of support services for tenants</w:t>
      </w:r>
    </w:p>
    <w:p w14:paraId="2DF35B14" w14:textId="77777777" w:rsidR="00B764FC" w:rsidRDefault="00B764FC">
      <w:pPr>
        <w:spacing w:after="240" w:line="276" w:lineRule="auto"/>
        <w:jc w:val="both"/>
        <w:rPr>
          <w:sz w:val="22"/>
          <w:szCs w:val="22"/>
        </w:rPr>
      </w:pPr>
      <w:r>
        <w:rPr>
          <w:sz w:val="22"/>
          <w:szCs w:val="22"/>
        </w:rPr>
        <w:t>The involvement of a Geelong based RHA is more likely to result in a more even distribution of social housing across the whole region, rather than in the outer suburbs of the City of Greater Geelong where land is cheapest.</w:t>
      </w:r>
    </w:p>
    <w:p w14:paraId="2EE8F34E" w14:textId="77777777" w:rsidR="00B764FC" w:rsidRDefault="00B764FC">
      <w:pPr>
        <w:pStyle w:val="Heading2"/>
        <w:ind w:left="720" w:hanging="720"/>
      </w:pPr>
      <w:bookmarkStart w:id="129" w:name="_Toc22120183"/>
      <w:r>
        <w:t>8.3</w:t>
      </w:r>
      <w:r>
        <w:tab/>
        <w:t>What are the opportunities for Council to work with private developers?</w:t>
      </w:r>
      <w:bookmarkEnd w:id="129"/>
    </w:p>
    <w:p w14:paraId="39CAB0F5" w14:textId="77777777" w:rsidR="00B764FC" w:rsidRDefault="00B764FC">
      <w:pPr>
        <w:spacing w:line="276" w:lineRule="auto"/>
        <w:jc w:val="both"/>
        <w:rPr>
          <w:sz w:val="22"/>
          <w:szCs w:val="22"/>
        </w:rPr>
      </w:pPr>
      <w:r>
        <w:rPr>
          <w:sz w:val="22"/>
          <w:szCs w:val="22"/>
        </w:rPr>
        <w:t xml:space="preserve">Private developers potentially have a significant role to play in the future supply of social and affordable housing in Geelong over the next 25 years.  As noted above, recent amendments to the Planning and Environment Act 1987 authorise Local Government to negotiate with developers for the supply of social and affordable housing.  </w:t>
      </w:r>
    </w:p>
    <w:p w14:paraId="2FF374A2" w14:textId="77777777" w:rsidR="00B764FC" w:rsidRDefault="00B764FC">
      <w:pPr>
        <w:spacing w:line="276" w:lineRule="auto"/>
        <w:jc w:val="both"/>
        <w:rPr>
          <w:sz w:val="22"/>
          <w:szCs w:val="22"/>
        </w:rPr>
      </w:pPr>
    </w:p>
    <w:p w14:paraId="29CE2539" w14:textId="77777777" w:rsidR="00B764FC" w:rsidRDefault="00B764FC">
      <w:pPr>
        <w:spacing w:line="276" w:lineRule="auto"/>
        <w:jc w:val="both"/>
        <w:rPr>
          <w:sz w:val="22"/>
          <w:szCs w:val="22"/>
        </w:rPr>
      </w:pPr>
      <w:r>
        <w:rPr>
          <w:sz w:val="22"/>
          <w:szCs w:val="22"/>
        </w:rPr>
        <w:t>The development industry will deliver the 70,000 new dwellings projected for Geelong over the next 25 years, and that negotiations with developers will represent a major opportunity for provision of social housing.  This will necessarily require the involvement and commitment of a Registered Housing Agency to acquire dwellings from the developer.</w:t>
      </w:r>
    </w:p>
    <w:p w14:paraId="6476C24A" w14:textId="77777777" w:rsidR="00B764FC" w:rsidRDefault="00B764FC">
      <w:pPr>
        <w:spacing w:line="276" w:lineRule="auto"/>
        <w:jc w:val="both"/>
        <w:rPr>
          <w:sz w:val="22"/>
          <w:szCs w:val="22"/>
        </w:rPr>
      </w:pPr>
    </w:p>
    <w:p w14:paraId="3B086EC5" w14:textId="35B17F79" w:rsidR="00B764FC" w:rsidRDefault="00B764FC">
      <w:pPr>
        <w:spacing w:line="276" w:lineRule="auto"/>
        <w:jc w:val="both"/>
        <w:rPr>
          <w:sz w:val="22"/>
          <w:szCs w:val="22"/>
        </w:rPr>
      </w:pPr>
      <w:r>
        <w:rPr>
          <w:sz w:val="22"/>
          <w:szCs w:val="22"/>
        </w:rPr>
        <w:t xml:space="preserve">Negotiations between developers and </w:t>
      </w:r>
      <w:r w:rsidR="007466F0">
        <w:rPr>
          <w:sz w:val="22"/>
          <w:szCs w:val="22"/>
        </w:rPr>
        <w:t xml:space="preserve">the City </w:t>
      </w:r>
      <w:r>
        <w:rPr>
          <w:sz w:val="22"/>
          <w:szCs w:val="22"/>
        </w:rPr>
        <w:t xml:space="preserve">are voluntary.  It is important that </w:t>
      </w:r>
      <w:r w:rsidR="007466F0">
        <w:rPr>
          <w:sz w:val="22"/>
          <w:szCs w:val="22"/>
        </w:rPr>
        <w:t xml:space="preserve">the City </w:t>
      </w:r>
      <w:r>
        <w:rPr>
          <w:sz w:val="22"/>
          <w:szCs w:val="22"/>
        </w:rPr>
        <w:t xml:space="preserve">understands and acknowledges the business model of developers and the potential impact of negotiations on expected commercial returns and business risks.  </w:t>
      </w:r>
    </w:p>
    <w:p w14:paraId="4D8E45E5" w14:textId="77777777" w:rsidR="00B764FC" w:rsidRDefault="00B764FC">
      <w:pPr>
        <w:spacing w:line="276" w:lineRule="auto"/>
        <w:jc w:val="both"/>
        <w:rPr>
          <w:sz w:val="22"/>
          <w:szCs w:val="22"/>
        </w:rPr>
      </w:pPr>
    </w:p>
    <w:p w14:paraId="661C4339" w14:textId="757426CF" w:rsidR="00B764FC" w:rsidRDefault="00B764FC">
      <w:pPr>
        <w:spacing w:line="276" w:lineRule="auto"/>
        <w:jc w:val="both"/>
        <w:rPr>
          <w:sz w:val="22"/>
          <w:szCs w:val="22"/>
        </w:rPr>
      </w:pPr>
      <w:r>
        <w:rPr>
          <w:sz w:val="22"/>
          <w:szCs w:val="22"/>
        </w:rPr>
        <w:t xml:space="preserve">Several developers have indicated that they are willing to provide good quality social housing, provided it does not erode profitability to the extent that developments are rendered non-viable. Developers require as much certainty as possible, clarity about what is negotiable, assurances that all developers will be treated equally (level playing field), and that </w:t>
      </w:r>
      <w:r w:rsidR="007466F0">
        <w:rPr>
          <w:sz w:val="22"/>
          <w:szCs w:val="22"/>
        </w:rPr>
        <w:t xml:space="preserve">the City </w:t>
      </w:r>
      <w:r>
        <w:rPr>
          <w:sz w:val="22"/>
          <w:szCs w:val="22"/>
        </w:rPr>
        <w:t>will seek to expedite the planning process.</w:t>
      </w:r>
    </w:p>
    <w:p w14:paraId="654BC429" w14:textId="77777777" w:rsidR="00B764FC" w:rsidRDefault="00B764FC">
      <w:pPr>
        <w:spacing w:line="276" w:lineRule="auto"/>
        <w:jc w:val="both"/>
        <w:rPr>
          <w:sz w:val="22"/>
          <w:szCs w:val="22"/>
        </w:rPr>
      </w:pPr>
    </w:p>
    <w:p w14:paraId="26B14CA9" w14:textId="0401DBF3" w:rsidR="00B764FC" w:rsidRDefault="00B764FC">
      <w:pPr>
        <w:spacing w:after="240" w:line="276" w:lineRule="auto"/>
        <w:jc w:val="both"/>
        <w:rPr>
          <w:sz w:val="22"/>
          <w:szCs w:val="22"/>
        </w:rPr>
      </w:pPr>
      <w:r>
        <w:rPr>
          <w:sz w:val="22"/>
          <w:szCs w:val="22"/>
        </w:rPr>
        <w:t xml:space="preserve">Within this context </w:t>
      </w:r>
      <w:r w:rsidR="007466F0">
        <w:rPr>
          <w:sz w:val="22"/>
          <w:szCs w:val="22"/>
        </w:rPr>
        <w:t xml:space="preserve">the City </w:t>
      </w:r>
      <w:r>
        <w:rPr>
          <w:sz w:val="22"/>
          <w:szCs w:val="22"/>
        </w:rPr>
        <w:t>may develop principles for the provision of social housing by developers, for example:</w:t>
      </w:r>
    </w:p>
    <w:p w14:paraId="7AD6BB38" w14:textId="77777777" w:rsidR="00B764FC" w:rsidRDefault="00B764FC" w:rsidP="00077040">
      <w:pPr>
        <w:pStyle w:val="ListParagraph"/>
        <w:numPr>
          <w:ilvl w:val="0"/>
          <w:numId w:val="51"/>
        </w:numPr>
        <w:spacing w:line="276" w:lineRule="auto"/>
        <w:jc w:val="both"/>
        <w:rPr>
          <w:sz w:val="22"/>
          <w:szCs w:val="22"/>
        </w:rPr>
      </w:pPr>
      <w:r>
        <w:rPr>
          <w:b/>
          <w:bCs/>
          <w:sz w:val="22"/>
          <w:szCs w:val="22"/>
        </w:rPr>
        <w:t>Commercial viability</w:t>
      </w:r>
      <w:r>
        <w:rPr>
          <w:sz w:val="22"/>
          <w:szCs w:val="22"/>
        </w:rPr>
        <w:t xml:space="preserve"> - the cost to the developer should not exceed the value uplift in the land value generated by the development approval.  That is the aim is to capture a proportion of the value uplift as a contribution to the cost of providing new social housing and not render the project non-viable.</w:t>
      </w:r>
    </w:p>
    <w:p w14:paraId="1AD94CA8" w14:textId="77777777" w:rsidR="00B764FC" w:rsidRDefault="00B764FC" w:rsidP="00077040">
      <w:pPr>
        <w:pStyle w:val="ListParagraph"/>
        <w:numPr>
          <w:ilvl w:val="0"/>
          <w:numId w:val="51"/>
        </w:numPr>
        <w:spacing w:line="276" w:lineRule="auto"/>
        <w:jc w:val="both"/>
        <w:rPr>
          <w:sz w:val="22"/>
          <w:szCs w:val="22"/>
        </w:rPr>
      </w:pPr>
      <w:r>
        <w:rPr>
          <w:b/>
          <w:bCs/>
          <w:sz w:val="22"/>
          <w:szCs w:val="22"/>
        </w:rPr>
        <w:t>Design and location</w:t>
      </w:r>
      <w:r>
        <w:rPr>
          <w:sz w:val="22"/>
          <w:szCs w:val="22"/>
        </w:rPr>
        <w:t xml:space="preserve"> - the scale, design and finish of the social housing should be compatible with the surrounding streetscape and not detract from the general amenity of the neighbourhood.  The location of social housing will take into consideration the needs of social housing tenants in terms of social infrastructure, transport, retail, education and employment opportunities.  Social housing dwellings provided should be consistent with an evidence-based model of good practice that demonstrates social, economic and environmental sustainability.</w:t>
      </w:r>
    </w:p>
    <w:p w14:paraId="1D5E7F82" w14:textId="77777777" w:rsidR="00B764FC" w:rsidRDefault="00B764FC" w:rsidP="00077040">
      <w:pPr>
        <w:pStyle w:val="ListParagraph"/>
        <w:numPr>
          <w:ilvl w:val="0"/>
          <w:numId w:val="51"/>
        </w:numPr>
        <w:spacing w:line="276" w:lineRule="auto"/>
        <w:jc w:val="both"/>
        <w:rPr>
          <w:sz w:val="22"/>
          <w:szCs w:val="22"/>
        </w:rPr>
      </w:pPr>
      <w:r>
        <w:rPr>
          <w:b/>
          <w:bCs/>
          <w:sz w:val="22"/>
          <w:szCs w:val="22"/>
        </w:rPr>
        <w:lastRenderedPageBreak/>
        <w:t>Timing of delivery -</w:t>
      </w:r>
      <w:r>
        <w:rPr>
          <w:sz w:val="22"/>
          <w:szCs w:val="22"/>
        </w:rPr>
        <w:t xml:space="preserve"> social housing should be delivered progressively in accordance with an agreed program in multi stage developments.  Social housing should be available when there is adequate social infrastructure available for social housing tenants.</w:t>
      </w:r>
    </w:p>
    <w:p w14:paraId="4D4E53BA" w14:textId="77777777" w:rsidR="00B764FC" w:rsidRDefault="00B764FC" w:rsidP="00077040">
      <w:pPr>
        <w:pStyle w:val="ListParagraph"/>
        <w:numPr>
          <w:ilvl w:val="0"/>
          <w:numId w:val="51"/>
        </w:numPr>
        <w:spacing w:line="276" w:lineRule="auto"/>
        <w:jc w:val="both"/>
        <w:rPr>
          <w:sz w:val="22"/>
          <w:szCs w:val="22"/>
        </w:rPr>
      </w:pPr>
      <w:r>
        <w:rPr>
          <w:b/>
          <w:bCs/>
          <w:sz w:val="22"/>
          <w:szCs w:val="22"/>
        </w:rPr>
        <w:t>Certainty of transfer</w:t>
      </w:r>
      <w:r>
        <w:rPr>
          <w:sz w:val="22"/>
          <w:szCs w:val="22"/>
        </w:rPr>
        <w:t>- the party identified as the owner and manager of the social housing (e.g. Registered Housing Agency) will guarantee the acquisition of the housing, and the operational capacity to manage the dwellings in accordance with recognised good practice.</w:t>
      </w:r>
    </w:p>
    <w:p w14:paraId="50EED492" w14:textId="565F996C" w:rsidR="00B764FC" w:rsidRDefault="00B764FC" w:rsidP="00077040">
      <w:pPr>
        <w:pStyle w:val="ListParagraph"/>
        <w:numPr>
          <w:ilvl w:val="0"/>
          <w:numId w:val="51"/>
        </w:numPr>
        <w:spacing w:line="276" w:lineRule="auto"/>
        <w:jc w:val="both"/>
        <w:rPr>
          <w:sz w:val="22"/>
          <w:szCs w:val="22"/>
        </w:rPr>
      </w:pPr>
      <w:r>
        <w:rPr>
          <w:b/>
          <w:bCs/>
          <w:sz w:val="22"/>
          <w:szCs w:val="22"/>
        </w:rPr>
        <w:t>Guidelines and information</w:t>
      </w:r>
      <w:r>
        <w:rPr>
          <w:sz w:val="22"/>
          <w:szCs w:val="22"/>
        </w:rPr>
        <w:t xml:space="preserve"> – </w:t>
      </w:r>
      <w:r w:rsidR="007466F0">
        <w:rPr>
          <w:sz w:val="22"/>
          <w:szCs w:val="22"/>
        </w:rPr>
        <w:t xml:space="preserve">The City </w:t>
      </w:r>
      <w:r>
        <w:rPr>
          <w:sz w:val="22"/>
          <w:szCs w:val="22"/>
        </w:rPr>
        <w:t xml:space="preserve">will provide guidelines and information for developers to assist in negotiations   in the context of the voluntary nature of the planning controls.  </w:t>
      </w:r>
    </w:p>
    <w:p w14:paraId="322498FE" w14:textId="77777777" w:rsidR="00183A11" w:rsidRDefault="00183A11">
      <w:pPr>
        <w:spacing w:line="276" w:lineRule="auto"/>
        <w:jc w:val="both"/>
        <w:rPr>
          <w:sz w:val="22"/>
          <w:szCs w:val="22"/>
          <w:lang w:val="en-US"/>
        </w:rPr>
      </w:pPr>
    </w:p>
    <w:p w14:paraId="639B25B0" w14:textId="77777777" w:rsidR="00B764FC" w:rsidRDefault="00B764FC">
      <w:pPr>
        <w:pStyle w:val="Heading2"/>
        <w:ind w:left="720" w:hanging="720"/>
      </w:pPr>
      <w:bookmarkStart w:id="130" w:name="_Toc22120184"/>
      <w:r>
        <w:t>8.4</w:t>
      </w:r>
      <w:r>
        <w:tab/>
        <w:t>Implications for the City of Greater Geelong Social Housing Plan</w:t>
      </w:r>
      <w:bookmarkEnd w:id="130"/>
    </w:p>
    <w:p w14:paraId="26D5F0E3" w14:textId="77777777" w:rsidR="00B764FC" w:rsidRDefault="00B764FC">
      <w:pPr>
        <w:spacing w:after="240" w:line="276" w:lineRule="auto"/>
        <w:jc w:val="both"/>
        <w:rPr>
          <w:sz w:val="22"/>
          <w:szCs w:val="22"/>
        </w:rPr>
      </w:pPr>
      <w:r>
        <w:rPr>
          <w:sz w:val="22"/>
          <w:szCs w:val="22"/>
        </w:rPr>
        <w:t xml:space="preserve">The City of Greater Geelong has acknowledged the need to increase the supply of social housing in the region for several years, and has attempted to establish social housing within newly developing areas, as well as within existing urban areas, including through neighbourhood renewal.  These attempts have met with limited success.  </w:t>
      </w:r>
    </w:p>
    <w:p w14:paraId="7886FA4B" w14:textId="281F1998" w:rsidR="00B764FC" w:rsidRDefault="007466F0">
      <w:pPr>
        <w:spacing w:after="240" w:line="276" w:lineRule="auto"/>
        <w:jc w:val="both"/>
        <w:rPr>
          <w:sz w:val="22"/>
          <w:szCs w:val="22"/>
        </w:rPr>
      </w:pPr>
      <w:r>
        <w:rPr>
          <w:sz w:val="22"/>
          <w:szCs w:val="22"/>
        </w:rPr>
        <w:t xml:space="preserve">The City </w:t>
      </w:r>
      <w:r w:rsidR="00B764FC">
        <w:rPr>
          <w:sz w:val="22"/>
          <w:szCs w:val="22"/>
        </w:rPr>
        <w:t>now has the opportunity through changes to the Planning and Environment Act to exercise more influence in decisions relating to the development of social and affordable housing.</w:t>
      </w:r>
    </w:p>
    <w:p w14:paraId="6D3D1A89" w14:textId="77777777" w:rsidR="00B764FC" w:rsidRDefault="00B764FC">
      <w:pPr>
        <w:spacing w:after="240" w:line="276" w:lineRule="auto"/>
        <w:jc w:val="both"/>
        <w:rPr>
          <w:sz w:val="22"/>
          <w:szCs w:val="22"/>
        </w:rPr>
      </w:pPr>
      <w:r>
        <w:rPr>
          <w:sz w:val="22"/>
          <w:szCs w:val="22"/>
        </w:rPr>
        <w:t xml:space="preserve">Importantly, the expected growth in housing overall in the City of Greater Geelong 2018 – 2041 provides significant opportunity for negotiations with developers to increase the supply of land for social housing that can then be managed by a registered Housing Agency. </w:t>
      </w:r>
    </w:p>
    <w:p w14:paraId="2FC0E907" w14:textId="65D69047" w:rsidR="003247FA" w:rsidRDefault="003247FA" w:rsidP="003247FA">
      <w:pPr>
        <w:spacing w:after="240" w:line="276" w:lineRule="auto"/>
        <w:jc w:val="both"/>
        <w:rPr>
          <w:sz w:val="22"/>
          <w:szCs w:val="22"/>
        </w:rPr>
      </w:pPr>
      <w:r>
        <w:rPr>
          <w:sz w:val="22"/>
          <w:szCs w:val="22"/>
        </w:rPr>
        <w:t>In summary:</w:t>
      </w:r>
    </w:p>
    <w:p w14:paraId="5C2FED62" w14:textId="07A3BE1C" w:rsidR="00B764FC" w:rsidRDefault="00B764FC">
      <w:pPr>
        <w:spacing w:line="276" w:lineRule="auto"/>
        <w:jc w:val="both"/>
        <w:rPr>
          <w:sz w:val="22"/>
          <w:szCs w:val="22"/>
        </w:rPr>
      </w:pPr>
      <w:r>
        <w:rPr>
          <w:sz w:val="22"/>
          <w:szCs w:val="22"/>
        </w:rPr>
        <w:t>In order to facilitate an increase in the supply of social housing in Geelong the City of Greater Geelong will need to:</w:t>
      </w:r>
    </w:p>
    <w:p w14:paraId="35B2ACEE" w14:textId="77777777" w:rsidR="00B764FC" w:rsidRDefault="00B764FC" w:rsidP="00077040">
      <w:pPr>
        <w:pStyle w:val="ListParagraph"/>
        <w:numPr>
          <w:ilvl w:val="0"/>
          <w:numId w:val="45"/>
        </w:numPr>
        <w:spacing w:before="60" w:line="276" w:lineRule="auto"/>
        <w:jc w:val="both"/>
        <w:rPr>
          <w:sz w:val="22"/>
          <w:szCs w:val="22"/>
        </w:rPr>
      </w:pPr>
      <w:r>
        <w:rPr>
          <w:b/>
          <w:bCs/>
          <w:sz w:val="22"/>
          <w:szCs w:val="22"/>
        </w:rPr>
        <w:t>Establish a collaborative partnership with DHHS</w:t>
      </w:r>
      <w:r>
        <w:rPr>
          <w:sz w:val="22"/>
          <w:szCs w:val="22"/>
        </w:rPr>
        <w:t>, with an Agreement which leads to a more planned approach to addressing existing stock, as well as possible future developments</w:t>
      </w:r>
    </w:p>
    <w:p w14:paraId="22A1089E" w14:textId="77777777" w:rsidR="00B764FC" w:rsidRDefault="00B764FC" w:rsidP="00077040">
      <w:pPr>
        <w:pStyle w:val="ListParagraph"/>
        <w:numPr>
          <w:ilvl w:val="0"/>
          <w:numId w:val="45"/>
        </w:numPr>
        <w:spacing w:before="60" w:line="276" w:lineRule="auto"/>
        <w:jc w:val="both"/>
        <w:rPr>
          <w:sz w:val="22"/>
          <w:szCs w:val="22"/>
        </w:rPr>
      </w:pPr>
      <w:r>
        <w:rPr>
          <w:b/>
          <w:bCs/>
          <w:sz w:val="22"/>
          <w:szCs w:val="22"/>
        </w:rPr>
        <w:t>Ensures that a Registered Housing Association commits to growing social housing in Geelong</w:t>
      </w:r>
      <w:r>
        <w:rPr>
          <w:sz w:val="22"/>
          <w:szCs w:val="22"/>
        </w:rPr>
        <w:t>, and maintains a substantial presence in Geelong.  If an existing RHA cannot make a significant commitment, then a new Housing Association will need to be established</w:t>
      </w:r>
    </w:p>
    <w:p w14:paraId="16D46D4B" w14:textId="77777777" w:rsidR="00B764FC" w:rsidRDefault="00B764FC" w:rsidP="00077040">
      <w:pPr>
        <w:pStyle w:val="ListParagraph"/>
        <w:numPr>
          <w:ilvl w:val="0"/>
          <w:numId w:val="45"/>
        </w:numPr>
        <w:spacing w:before="60" w:line="276" w:lineRule="auto"/>
        <w:jc w:val="both"/>
        <w:rPr>
          <w:sz w:val="22"/>
          <w:szCs w:val="22"/>
        </w:rPr>
      </w:pPr>
      <w:r>
        <w:rPr>
          <w:b/>
          <w:bCs/>
          <w:sz w:val="22"/>
          <w:szCs w:val="22"/>
        </w:rPr>
        <w:t>Exercise greater control over Agreements between RHAs and developers</w:t>
      </w:r>
    </w:p>
    <w:p w14:paraId="6E718C31" w14:textId="77777777" w:rsidR="00B764FC" w:rsidRDefault="00B764FC" w:rsidP="00077040">
      <w:pPr>
        <w:pStyle w:val="ListParagraph"/>
        <w:numPr>
          <w:ilvl w:val="0"/>
          <w:numId w:val="45"/>
        </w:numPr>
        <w:spacing w:line="276" w:lineRule="auto"/>
        <w:jc w:val="both"/>
        <w:rPr>
          <w:sz w:val="22"/>
          <w:szCs w:val="22"/>
        </w:rPr>
      </w:pPr>
      <w:r>
        <w:rPr>
          <w:sz w:val="22"/>
          <w:szCs w:val="22"/>
        </w:rPr>
        <w:t xml:space="preserve">The enhanced involvement of local government may be expected to </w:t>
      </w:r>
      <w:r>
        <w:rPr>
          <w:b/>
          <w:bCs/>
          <w:sz w:val="22"/>
          <w:szCs w:val="22"/>
        </w:rPr>
        <w:t>provide a more planned, orderly and coordinated approach to the development of social housing</w:t>
      </w:r>
      <w:r>
        <w:rPr>
          <w:sz w:val="22"/>
          <w:szCs w:val="22"/>
        </w:rPr>
        <w:t xml:space="preserve"> in the future within a particular region</w:t>
      </w:r>
    </w:p>
    <w:p w14:paraId="151C2B9D" w14:textId="77777777" w:rsidR="00B764FC" w:rsidRDefault="00B764FC">
      <w:pPr>
        <w:spacing w:line="276" w:lineRule="auto"/>
        <w:jc w:val="both"/>
        <w:rPr>
          <w:sz w:val="22"/>
          <w:szCs w:val="22"/>
        </w:rPr>
      </w:pPr>
    </w:p>
    <w:p w14:paraId="74C1EA97" w14:textId="77777777" w:rsidR="00B764FC" w:rsidRDefault="00B764FC">
      <w:pPr>
        <w:spacing w:line="276" w:lineRule="auto"/>
        <w:jc w:val="both"/>
        <w:rPr>
          <w:sz w:val="22"/>
          <w:szCs w:val="22"/>
        </w:rPr>
      </w:pPr>
      <w:r>
        <w:rPr>
          <w:sz w:val="22"/>
          <w:szCs w:val="22"/>
        </w:rPr>
        <w:t>A planned approach could see a more even distribution of social housing across the whole region, rather than in the outer suburbs of the City of Greater Geelong where land is cheapest.  A Geelong based Housing Association would provide a suitable vehicle for contributions of land and cash from Council, increasing borrowing capacity, enhancing confidence in long term planning.</w:t>
      </w:r>
    </w:p>
    <w:p w14:paraId="4E51AAC6" w14:textId="77777777" w:rsidR="00B764FC" w:rsidRDefault="00B764FC">
      <w:pPr>
        <w:spacing w:line="276" w:lineRule="auto"/>
        <w:jc w:val="both"/>
        <w:rPr>
          <w:sz w:val="22"/>
          <w:szCs w:val="22"/>
        </w:rPr>
      </w:pPr>
    </w:p>
    <w:p w14:paraId="6DE15957" w14:textId="671B3D0E" w:rsidR="00B764FC" w:rsidRDefault="00B764FC">
      <w:pPr>
        <w:rPr>
          <w:rFonts w:ascii="Circular Std Book" w:hAnsi="Circular Std Book" w:cs="Circular Std Book"/>
          <w:b/>
          <w:bCs/>
          <w:color w:val="000000"/>
          <w:sz w:val="28"/>
          <w:szCs w:val="28"/>
        </w:rPr>
      </w:pPr>
      <w:r>
        <w:br w:type="page"/>
      </w:r>
    </w:p>
    <w:p w14:paraId="792D560A" w14:textId="77777777" w:rsidR="00B764FC" w:rsidRPr="00311ACE" w:rsidRDefault="00B764FC" w:rsidP="00077040">
      <w:pPr>
        <w:pStyle w:val="Heading1"/>
        <w:numPr>
          <w:ilvl w:val="0"/>
          <w:numId w:val="14"/>
        </w:numPr>
        <w:rPr>
          <w:color w:val="002060"/>
        </w:rPr>
      </w:pPr>
      <w:bookmarkStart w:id="131" w:name="_Toc22120185"/>
      <w:r w:rsidRPr="00311ACE">
        <w:rPr>
          <w:color w:val="002060"/>
        </w:rPr>
        <w:lastRenderedPageBreak/>
        <w:t>Where will future social housing supply come from?</w:t>
      </w:r>
      <w:bookmarkEnd w:id="131"/>
    </w:p>
    <w:p w14:paraId="5B4AB78A" w14:textId="77777777" w:rsidR="00B764FC" w:rsidRDefault="00B764FC">
      <w:pPr>
        <w:spacing w:after="240" w:line="276" w:lineRule="auto"/>
        <w:rPr>
          <w:sz w:val="22"/>
          <w:szCs w:val="22"/>
        </w:rPr>
      </w:pPr>
      <w:r>
        <w:rPr>
          <w:sz w:val="22"/>
          <w:szCs w:val="22"/>
        </w:rPr>
        <w:t>This section considers possible locations and land availability that could support an increase in the supply of social housing in Geelong particularly:</w:t>
      </w:r>
    </w:p>
    <w:p w14:paraId="5C70175A" w14:textId="4F85F59E" w:rsidR="00B764FC" w:rsidRDefault="00B764FC" w:rsidP="00077040">
      <w:pPr>
        <w:pStyle w:val="ListParagraph"/>
        <w:numPr>
          <w:ilvl w:val="0"/>
          <w:numId w:val="49"/>
        </w:numPr>
        <w:spacing w:line="276" w:lineRule="auto"/>
        <w:rPr>
          <w:sz w:val="22"/>
          <w:szCs w:val="22"/>
        </w:rPr>
      </w:pPr>
      <w:r>
        <w:rPr>
          <w:sz w:val="22"/>
          <w:szCs w:val="22"/>
        </w:rPr>
        <w:t>City of Greater Geelong (</w:t>
      </w:r>
      <w:r w:rsidR="00F9100A">
        <w:rPr>
          <w:sz w:val="22"/>
          <w:szCs w:val="22"/>
        </w:rPr>
        <w:t>the City</w:t>
      </w:r>
      <w:r>
        <w:rPr>
          <w:sz w:val="22"/>
          <w:szCs w:val="22"/>
        </w:rPr>
        <w:t>) owned land</w:t>
      </w:r>
    </w:p>
    <w:p w14:paraId="533CB8F4" w14:textId="77777777" w:rsidR="00B764FC" w:rsidRDefault="00B764FC" w:rsidP="00077040">
      <w:pPr>
        <w:pStyle w:val="ListParagraph"/>
        <w:numPr>
          <w:ilvl w:val="0"/>
          <w:numId w:val="49"/>
        </w:numPr>
        <w:spacing w:line="276" w:lineRule="auto"/>
        <w:rPr>
          <w:sz w:val="22"/>
          <w:szCs w:val="22"/>
        </w:rPr>
      </w:pPr>
      <w:r>
        <w:rPr>
          <w:sz w:val="22"/>
          <w:szCs w:val="22"/>
        </w:rPr>
        <w:t>State Government owned land</w:t>
      </w:r>
    </w:p>
    <w:p w14:paraId="5B9039A3" w14:textId="77777777" w:rsidR="00B764FC" w:rsidRDefault="00B764FC" w:rsidP="00077040">
      <w:pPr>
        <w:pStyle w:val="ListParagraph"/>
        <w:numPr>
          <w:ilvl w:val="0"/>
          <w:numId w:val="49"/>
        </w:numPr>
        <w:spacing w:line="276" w:lineRule="auto"/>
        <w:rPr>
          <w:sz w:val="22"/>
          <w:szCs w:val="22"/>
        </w:rPr>
      </w:pPr>
      <w:r>
        <w:rPr>
          <w:sz w:val="22"/>
          <w:szCs w:val="22"/>
        </w:rPr>
        <w:t>Private land</w:t>
      </w:r>
    </w:p>
    <w:p w14:paraId="4700099E" w14:textId="77777777" w:rsidR="00B764FC" w:rsidRDefault="00B764FC" w:rsidP="00077040">
      <w:pPr>
        <w:pStyle w:val="ListParagraph"/>
        <w:numPr>
          <w:ilvl w:val="0"/>
          <w:numId w:val="49"/>
        </w:numPr>
        <w:spacing w:line="276" w:lineRule="auto"/>
        <w:rPr>
          <w:sz w:val="22"/>
          <w:szCs w:val="22"/>
        </w:rPr>
      </w:pPr>
      <w:r>
        <w:rPr>
          <w:sz w:val="22"/>
          <w:szCs w:val="22"/>
        </w:rPr>
        <w:t>Key challenges to future social housing supply</w:t>
      </w:r>
    </w:p>
    <w:p w14:paraId="677DBF59" w14:textId="77777777" w:rsidR="00B764FC" w:rsidRDefault="00B764FC">
      <w:pPr>
        <w:pStyle w:val="Heading2"/>
      </w:pPr>
    </w:p>
    <w:p w14:paraId="5E22A813" w14:textId="77777777" w:rsidR="00B764FC" w:rsidRDefault="00B764FC">
      <w:pPr>
        <w:pStyle w:val="Heading2"/>
      </w:pPr>
      <w:bookmarkStart w:id="132" w:name="_Toc22120186"/>
      <w:r>
        <w:t>9.1 What is the potential of Council owned land?</w:t>
      </w:r>
      <w:bookmarkEnd w:id="132"/>
    </w:p>
    <w:p w14:paraId="7296CC92" w14:textId="77777777" w:rsidR="00B764FC" w:rsidRDefault="00B764FC">
      <w:pPr>
        <w:spacing w:line="276" w:lineRule="auto"/>
        <w:jc w:val="both"/>
        <w:rPr>
          <w:sz w:val="22"/>
          <w:szCs w:val="22"/>
        </w:rPr>
      </w:pPr>
      <w:r>
        <w:rPr>
          <w:sz w:val="22"/>
          <w:szCs w:val="22"/>
          <w:lang w:val="en-US"/>
        </w:rPr>
        <w:t xml:space="preserve">The City of Greater Geelong owns a number of properties across the municipality. </w:t>
      </w:r>
      <w:r>
        <w:rPr>
          <w:sz w:val="22"/>
          <w:szCs w:val="22"/>
        </w:rPr>
        <w:t xml:space="preserve">From time to time the City identifies land that is surplus to requirements for municipal purposes all over the municipality. This includes small single dwelling lots to large redevelopment sites.  </w:t>
      </w:r>
    </w:p>
    <w:p w14:paraId="1E32FDEB" w14:textId="77777777" w:rsidR="00B764FC" w:rsidRDefault="00B764FC">
      <w:pPr>
        <w:rPr>
          <w:sz w:val="22"/>
          <w:szCs w:val="22"/>
        </w:rPr>
      </w:pPr>
    </w:p>
    <w:p w14:paraId="2543E409" w14:textId="2C52AA88" w:rsidR="00B764FC" w:rsidRDefault="00B764FC">
      <w:pPr>
        <w:spacing w:line="360" w:lineRule="auto"/>
        <w:rPr>
          <w:sz w:val="22"/>
          <w:szCs w:val="22"/>
        </w:rPr>
      </w:pPr>
      <w:r>
        <w:rPr>
          <w:sz w:val="22"/>
          <w:szCs w:val="22"/>
        </w:rPr>
        <w:t>A preliminary assessment has identified:</w:t>
      </w:r>
    </w:p>
    <w:p w14:paraId="388FE192" w14:textId="7A64DC59" w:rsidR="00B764FC" w:rsidRDefault="00077040" w:rsidP="00077040">
      <w:pPr>
        <w:pStyle w:val="ListParagraph"/>
        <w:numPr>
          <w:ilvl w:val="0"/>
          <w:numId w:val="50"/>
        </w:numPr>
        <w:spacing w:line="276" w:lineRule="auto"/>
        <w:rPr>
          <w:sz w:val="22"/>
          <w:szCs w:val="22"/>
        </w:rPr>
      </w:pPr>
      <w:r>
        <w:rPr>
          <w:sz w:val="22"/>
          <w:szCs w:val="22"/>
        </w:rPr>
        <w:t>49</w:t>
      </w:r>
      <w:r w:rsidR="00B764FC">
        <w:rPr>
          <w:sz w:val="22"/>
          <w:szCs w:val="22"/>
        </w:rPr>
        <w:t xml:space="preserve"> Council owned sites that could potentially be used to supply some form of social housing.</w:t>
      </w:r>
    </w:p>
    <w:p w14:paraId="02CD6FA4" w14:textId="47381FFC" w:rsidR="00B764FC" w:rsidRDefault="00B764FC" w:rsidP="00077040">
      <w:pPr>
        <w:pStyle w:val="ListParagraph"/>
        <w:numPr>
          <w:ilvl w:val="0"/>
          <w:numId w:val="50"/>
        </w:numPr>
        <w:spacing w:line="276" w:lineRule="auto"/>
        <w:rPr>
          <w:sz w:val="22"/>
          <w:szCs w:val="22"/>
        </w:rPr>
      </w:pPr>
      <w:r>
        <w:rPr>
          <w:sz w:val="22"/>
          <w:szCs w:val="22"/>
        </w:rPr>
        <w:t xml:space="preserve">These sites comprise </w:t>
      </w:r>
      <w:r w:rsidR="00077040" w:rsidRPr="003F5F98">
        <w:rPr>
          <w:sz w:val="22"/>
          <w:szCs w:val="22"/>
        </w:rPr>
        <w:t>172,429.73</w:t>
      </w:r>
      <w:r w:rsidR="003F5F98">
        <w:rPr>
          <w:sz w:val="22"/>
          <w:szCs w:val="22"/>
        </w:rPr>
        <w:t xml:space="preserve"> m</w:t>
      </w:r>
      <w:r w:rsidR="003F5F98">
        <w:rPr>
          <w:sz w:val="22"/>
          <w:szCs w:val="22"/>
          <w:vertAlign w:val="superscript"/>
        </w:rPr>
        <w:t>2</w:t>
      </w:r>
      <w:r>
        <w:rPr>
          <w:sz w:val="22"/>
          <w:szCs w:val="22"/>
        </w:rPr>
        <w:t xml:space="preserve"> of land.</w:t>
      </w:r>
    </w:p>
    <w:p w14:paraId="1E4092A3" w14:textId="77777777" w:rsidR="00B764FC" w:rsidRDefault="00B764FC" w:rsidP="00077040">
      <w:pPr>
        <w:pStyle w:val="ListParagraph"/>
        <w:numPr>
          <w:ilvl w:val="0"/>
          <w:numId w:val="50"/>
        </w:numPr>
        <w:spacing w:line="276" w:lineRule="auto"/>
        <w:rPr>
          <w:sz w:val="22"/>
          <w:szCs w:val="22"/>
        </w:rPr>
      </w:pPr>
      <w:r>
        <w:rPr>
          <w:sz w:val="22"/>
          <w:szCs w:val="22"/>
        </w:rPr>
        <w:t xml:space="preserve">The most readily available sites are located in areas of existing high levels of social housing. </w:t>
      </w:r>
    </w:p>
    <w:p w14:paraId="2E464991" w14:textId="77777777" w:rsidR="00B764FC" w:rsidRDefault="00B764FC" w:rsidP="00077040">
      <w:pPr>
        <w:pStyle w:val="ListParagraph"/>
        <w:numPr>
          <w:ilvl w:val="0"/>
          <w:numId w:val="50"/>
        </w:numPr>
        <w:spacing w:line="276" w:lineRule="auto"/>
        <w:rPr>
          <w:sz w:val="22"/>
          <w:szCs w:val="22"/>
        </w:rPr>
      </w:pPr>
      <w:r>
        <w:rPr>
          <w:sz w:val="22"/>
          <w:szCs w:val="22"/>
        </w:rPr>
        <w:t xml:space="preserve">A significant number of readily available sites are also located in Belmont/Highton/Wandana Heights and Geelong West/Newtown/Manifold Heights. </w:t>
      </w:r>
    </w:p>
    <w:p w14:paraId="5980FBB1" w14:textId="77777777" w:rsidR="00B764FC" w:rsidRDefault="00B764FC"/>
    <w:p w14:paraId="4444A219" w14:textId="612C8F0E" w:rsidR="00B764FC" w:rsidRDefault="00B764FC">
      <w:pPr>
        <w:spacing w:line="276" w:lineRule="auto"/>
        <w:jc w:val="both"/>
      </w:pPr>
      <w:r>
        <w:rPr>
          <w:sz w:val="22"/>
          <w:szCs w:val="22"/>
        </w:rPr>
        <w:t>Assuming that housing development on t</w:t>
      </w:r>
      <w:r w:rsidR="003F5F98">
        <w:rPr>
          <w:sz w:val="22"/>
          <w:szCs w:val="22"/>
        </w:rPr>
        <w:t>hese sites was to occur at 400m</w:t>
      </w:r>
      <w:r w:rsidR="003F5F98">
        <w:rPr>
          <w:sz w:val="22"/>
          <w:szCs w:val="22"/>
          <w:vertAlign w:val="superscript"/>
        </w:rPr>
        <w:t>2</w:t>
      </w:r>
      <w:r>
        <w:rPr>
          <w:sz w:val="22"/>
          <w:szCs w:val="22"/>
        </w:rPr>
        <w:t xml:space="preserve"> per dwelling it could be argued that this available </w:t>
      </w:r>
      <w:r w:rsidR="00F9100A">
        <w:rPr>
          <w:sz w:val="22"/>
          <w:szCs w:val="22"/>
        </w:rPr>
        <w:t xml:space="preserve">City </w:t>
      </w:r>
      <w:r>
        <w:rPr>
          <w:sz w:val="22"/>
          <w:szCs w:val="22"/>
        </w:rPr>
        <w:t>owned land could potentially contribute an estimated 400 social housing dwellings</w:t>
      </w:r>
      <w:r>
        <w:rPr>
          <w:rStyle w:val="FootnoteReference"/>
          <w:sz w:val="22"/>
          <w:szCs w:val="22"/>
        </w:rPr>
        <w:footnoteReference w:id="20"/>
      </w:r>
      <w:r>
        <w:rPr>
          <w:sz w:val="22"/>
          <w:szCs w:val="22"/>
        </w:rPr>
        <w:t xml:space="preserve">. </w:t>
      </w:r>
    </w:p>
    <w:p w14:paraId="180B6909" w14:textId="77777777" w:rsidR="00B764FC" w:rsidRDefault="00B764FC">
      <w:pPr>
        <w:ind w:left="360"/>
      </w:pPr>
    </w:p>
    <w:p w14:paraId="08C92A7B" w14:textId="77777777" w:rsidR="00B764FC" w:rsidRDefault="00B764FC">
      <w:pPr>
        <w:pStyle w:val="Heading2"/>
      </w:pPr>
      <w:bookmarkStart w:id="133" w:name="_Toc22120187"/>
      <w:r>
        <w:t>9.2 What is the potential of other government owned land?</w:t>
      </w:r>
      <w:bookmarkEnd w:id="133"/>
    </w:p>
    <w:p w14:paraId="286F6A9B" w14:textId="2711BCB0" w:rsidR="00B764FC" w:rsidRDefault="00B764FC">
      <w:pPr>
        <w:spacing w:before="240" w:line="276" w:lineRule="auto"/>
        <w:rPr>
          <w:sz w:val="22"/>
          <w:szCs w:val="22"/>
        </w:rPr>
      </w:pPr>
      <w:r>
        <w:rPr>
          <w:sz w:val="22"/>
          <w:szCs w:val="22"/>
        </w:rPr>
        <w:t xml:space="preserve">The State Government also owns a number of properties within the Geelong area. For the purpose of this project a Land Audit was also conducted of State Government owned land that is located within Residential Zones across Geelong. The Land Audit identified a total of 28 State Government owned properties. </w:t>
      </w:r>
    </w:p>
    <w:p w14:paraId="55597F72" w14:textId="6E807F08" w:rsidR="00B764FC" w:rsidRDefault="00B764FC">
      <w:pPr>
        <w:spacing w:before="240" w:line="276" w:lineRule="auto"/>
        <w:rPr>
          <w:sz w:val="22"/>
          <w:szCs w:val="22"/>
        </w:rPr>
      </w:pPr>
      <w:r>
        <w:rPr>
          <w:sz w:val="22"/>
          <w:szCs w:val="22"/>
        </w:rPr>
        <w:t xml:space="preserve">Assuming that housing development on these sites was to occur at 400m2 per dwelling it could be argued that this available State Government owned land could potentially contribute an estimated 900 social housing dwellings. </w:t>
      </w:r>
    </w:p>
    <w:p w14:paraId="657B08A9" w14:textId="77777777" w:rsidR="00B764FC" w:rsidRDefault="00B764FC">
      <w:pPr>
        <w:spacing w:before="240" w:line="276" w:lineRule="auto"/>
        <w:rPr>
          <w:sz w:val="22"/>
          <w:szCs w:val="22"/>
        </w:rPr>
      </w:pPr>
      <w:r>
        <w:rPr>
          <w:sz w:val="22"/>
          <w:szCs w:val="22"/>
        </w:rPr>
        <w:t>This is a high level assumption and the final number of possible social housing units will depend upon actual lot and dwelling sizes.</w:t>
      </w:r>
    </w:p>
    <w:p w14:paraId="3C0829D7" w14:textId="77777777" w:rsidR="00B764FC" w:rsidRDefault="00B764FC">
      <w:pPr>
        <w:pStyle w:val="Heading2"/>
      </w:pPr>
      <w:bookmarkStart w:id="134" w:name="_Toc22120188"/>
      <w:r>
        <w:lastRenderedPageBreak/>
        <w:t xml:space="preserve">9.3 What </w:t>
      </w:r>
      <w:bookmarkEnd w:id="122"/>
      <w:bookmarkEnd w:id="123"/>
      <w:r>
        <w:t>is the potential of private land?</w:t>
      </w:r>
      <w:bookmarkEnd w:id="134"/>
    </w:p>
    <w:p w14:paraId="2039ECE8" w14:textId="77777777" w:rsidR="00B764FC" w:rsidRDefault="00B764FC">
      <w:pPr>
        <w:pStyle w:val="ListParagraph"/>
      </w:pPr>
    </w:p>
    <w:p w14:paraId="694244EA" w14:textId="77777777" w:rsidR="00B764FC" w:rsidRDefault="00B764FC">
      <w:pPr>
        <w:spacing w:after="240" w:line="276" w:lineRule="auto"/>
        <w:jc w:val="both"/>
        <w:rPr>
          <w:sz w:val="22"/>
          <w:szCs w:val="22"/>
        </w:rPr>
      </w:pPr>
      <w:bookmarkStart w:id="135" w:name="_Toc4230683"/>
      <w:r>
        <w:rPr>
          <w:sz w:val="22"/>
          <w:szCs w:val="22"/>
        </w:rPr>
        <w:t xml:space="preserve">The City of Greater Geelong </w:t>
      </w:r>
      <w:r>
        <w:rPr>
          <w:i/>
          <w:iCs/>
          <w:sz w:val="22"/>
          <w:szCs w:val="22"/>
        </w:rPr>
        <w:t>Settlement Strategy</w:t>
      </w:r>
      <w:r>
        <w:rPr>
          <w:sz w:val="22"/>
          <w:szCs w:val="22"/>
        </w:rPr>
        <w:t xml:space="preserve"> (2018) provides a high-level strategy for managing Geelong’s future residential growth.  The major land supply stocks available across Geelong identified in the Settlement Strategy are shown below.</w:t>
      </w:r>
    </w:p>
    <w:p w14:paraId="2E5AAD89" w14:textId="4591883C" w:rsidR="00B764FC" w:rsidRDefault="00B764FC">
      <w:pPr>
        <w:pStyle w:val="Caption"/>
        <w:rPr>
          <w:b/>
          <w:bCs/>
        </w:rPr>
      </w:pPr>
      <w:bookmarkStart w:id="136" w:name="_Toc22120053"/>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18</w:t>
      </w:r>
      <w:r w:rsidR="00FF5CA4">
        <w:rPr>
          <w:b/>
          <w:bCs/>
        </w:rPr>
        <w:fldChar w:fldCharType="end"/>
      </w:r>
      <w:r>
        <w:rPr>
          <w:b/>
          <w:bCs/>
        </w:rPr>
        <w:t>: Major land supply stocks as of January 2017</w:t>
      </w:r>
      <w:bookmarkEnd w:id="136"/>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227"/>
        <w:gridCol w:w="1418"/>
        <w:gridCol w:w="992"/>
        <w:gridCol w:w="1242"/>
        <w:gridCol w:w="1178"/>
        <w:gridCol w:w="1429"/>
      </w:tblGrid>
      <w:tr w:rsidR="00B764FC" w14:paraId="43E49123" w14:textId="77777777" w:rsidTr="00291EB3">
        <w:trPr>
          <w:trHeight w:val="397"/>
        </w:trPr>
        <w:tc>
          <w:tcPr>
            <w:tcW w:w="3227" w:type="dxa"/>
            <w:tcBorders>
              <w:left w:val="nil"/>
              <w:right w:val="nil"/>
            </w:tcBorders>
            <w:shd w:val="clear" w:color="auto" w:fill="002060"/>
          </w:tcPr>
          <w:p w14:paraId="67C02327" w14:textId="77777777" w:rsidR="00B764FC" w:rsidRDefault="00B764FC">
            <w:pPr>
              <w:jc w:val="center"/>
              <w:rPr>
                <w:b/>
                <w:bCs/>
                <w:color w:val="FFFFFF"/>
                <w:sz w:val="20"/>
                <w:szCs w:val="20"/>
              </w:rPr>
            </w:pPr>
            <w:r>
              <w:rPr>
                <w:b/>
                <w:bCs/>
                <w:color w:val="FFFFFF"/>
                <w:sz w:val="20"/>
                <w:szCs w:val="20"/>
              </w:rPr>
              <w:t>Region</w:t>
            </w:r>
          </w:p>
        </w:tc>
        <w:tc>
          <w:tcPr>
            <w:tcW w:w="1418" w:type="dxa"/>
            <w:tcBorders>
              <w:left w:val="nil"/>
              <w:right w:val="nil"/>
            </w:tcBorders>
            <w:shd w:val="clear" w:color="auto" w:fill="002060"/>
          </w:tcPr>
          <w:p w14:paraId="51118CD2" w14:textId="77777777" w:rsidR="00B764FC" w:rsidRDefault="00B764FC">
            <w:pPr>
              <w:jc w:val="center"/>
              <w:rPr>
                <w:b/>
                <w:bCs/>
                <w:color w:val="FFFFFF"/>
                <w:sz w:val="20"/>
                <w:szCs w:val="20"/>
              </w:rPr>
            </w:pPr>
            <w:r>
              <w:rPr>
                <w:b/>
                <w:bCs/>
                <w:color w:val="FFFFFF"/>
                <w:sz w:val="20"/>
                <w:szCs w:val="20"/>
              </w:rPr>
              <w:t>Broad hectare</w:t>
            </w:r>
          </w:p>
        </w:tc>
        <w:tc>
          <w:tcPr>
            <w:tcW w:w="992" w:type="dxa"/>
            <w:tcBorders>
              <w:left w:val="nil"/>
              <w:right w:val="nil"/>
            </w:tcBorders>
            <w:shd w:val="clear" w:color="auto" w:fill="002060"/>
          </w:tcPr>
          <w:p w14:paraId="29544595" w14:textId="77777777" w:rsidR="00B764FC" w:rsidRDefault="00B764FC">
            <w:pPr>
              <w:jc w:val="center"/>
              <w:rPr>
                <w:b/>
                <w:bCs/>
                <w:color w:val="FFFFFF"/>
                <w:sz w:val="20"/>
                <w:szCs w:val="20"/>
              </w:rPr>
            </w:pPr>
            <w:r>
              <w:rPr>
                <w:b/>
                <w:bCs/>
                <w:color w:val="FFFFFF"/>
                <w:sz w:val="20"/>
                <w:szCs w:val="20"/>
              </w:rPr>
              <w:t>Major infill</w:t>
            </w:r>
          </w:p>
        </w:tc>
        <w:tc>
          <w:tcPr>
            <w:tcW w:w="1242" w:type="dxa"/>
            <w:tcBorders>
              <w:left w:val="nil"/>
              <w:right w:val="nil"/>
            </w:tcBorders>
            <w:shd w:val="clear" w:color="auto" w:fill="002060"/>
          </w:tcPr>
          <w:p w14:paraId="20FE312F" w14:textId="77777777" w:rsidR="00B764FC" w:rsidRDefault="00B764FC">
            <w:pPr>
              <w:jc w:val="center"/>
              <w:rPr>
                <w:b/>
                <w:bCs/>
                <w:color w:val="FFFFFF"/>
                <w:sz w:val="20"/>
                <w:szCs w:val="20"/>
              </w:rPr>
            </w:pPr>
            <w:r>
              <w:rPr>
                <w:b/>
                <w:bCs/>
                <w:color w:val="FFFFFF"/>
                <w:sz w:val="20"/>
                <w:szCs w:val="20"/>
              </w:rPr>
              <w:t xml:space="preserve">Major </w:t>
            </w:r>
            <w:r>
              <w:rPr>
                <w:b/>
                <w:bCs/>
                <w:color w:val="FFFFFF"/>
                <w:sz w:val="16"/>
                <w:szCs w:val="16"/>
              </w:rPr>
              <w:t>redevelopment</w:t>
            </w:r>
          </w:p>
        </w:tc>
        <w:tc>
          <w:tcPr>
            <w:tcW w:w="1178" w:type="dxa"/>
            <w:tcBorders>
              <w:left w:val="nil"/>
              <w:right w:val="nil"/>
            </w:tcBorders>
            <w:shd w:val="clear" w:color="auto" w:fill="002060"/>
          </w:tcPr>
          <w:p w14:paraId="52B19990" w14:textId="77777777" w:rsidR="00B764FC" w:rsidRDefault="00B764FC">
            <w:pPr>
              <w:jc w:val="center"/>
              <w:rPr>
                <w:b/>
                <w:bCs/>
                <w:color w:val="FFFFFF"/>
                <w:sz w:val="20"/>
                <w:szCs w:val="20"/>
              </w:rPr>
            </w:pPr>
            <w:r>
              <w:rPr>
                <w:b/>
                <w:bCs/>
                <w:color w:val="FFFFFF"/>
                <w:sz w:val="20"/>
                <w:szCs w:val="20"/>
              </w:rPr>
              <w:t>Unzoned</w:t>
            </w:r>
          </w:p>
        </w:tc>
        <w:tc>
          <w:tcPr>
            <w:tcW w:w="1429" w:type="dxa"/>
            <w:tcBorders>
              <w:left w:val="nil"/>
              <w:right w:val="nil"/>
            </w:tcBorders>
            <w:shd w:val="clear" w:color="auto" w:fill="002060"/>
          </w:tcPr>
          <w:p w14:paraId="025CF9B7" w14:textId="77777777" w:rsidR="00B764FC" w:rsidRDefault="00B764FC">
            <w:pPr>
              <w:jc w:val="center"/>
              <w:rPr>
                <w:b/>
                <w:bCs/>
                <w:color w:val="FFFFFF"/>
                <w:sz w:val="20"/>
                <w:szCs w:val="20"/>
              </w:rPr>
            </w:pPr>
            <w:r>
              <w:rPr>
                <w:b/>
                <w:bCs/>
                <w:color w:val="FFFFFF"/>
                <w:sz w:val="20"/>
                <w:szCs w:val="20"/>
              </w:rPr>
              <w:t>Total</w:t>
            </w:r>
          </w:p>
        </w:tc>
      </w:tr>
      <w:tr w:rsidR="00B764FC" w14:paraId="0BAAC9B5" w14:textId="77777777">
        <w:trPr>
          <w:trHeight w:val="397"/>
        </w:trPr>
        <w:tc>
          <w:tcPr>
            <w:tcW w:w="3227" w:type="dxa"/>
            <w:tcBorders>
              <w:left w:val="nil"/>
              <w:right w:val="nil"/>
            </w:tcBorders>
            <w:vAlign w:val="center"/>
          </w:tcPr>
          <w:p w14:paraId="32A0B346" w14:textId="77777777" w:rsidR="00B764FC" w:rsidRDefault="00B764FC">
            <w:pPr>
              <w:rPr>
                <w:sz w:val="20"/>
                <w:szCs w:val="20"/>
              </w:rPr>
            </w:pPr>
            <w:r>
              <w:rPr>
                <w:sz w:val="20"/>
                <w:szCs w:val="20"/>
              </w:rPr>
              <w:t>Bellarine</w:t>
            </w:r>
          </w:p>
        </w:tc>
        <w:tc>
          <w:tcPr>
            <w:tcW w:w="1418" w:type="dxa"/>
            <w:tcBorders>
              <w:left w:val="nil"/>
              <w:right w:val="nil"/>
            </w:tcBorders>
            <w:shd w:val="clear" w:color="auto" w:fill="FFFFFF"/>
            <w:vAlign w:val="center"/>
          </w:tcPr>
          <w:p w14:paraId="5A0A60D1" w14:textId="77777777" w:rsidR="00B764FC" w:rsidRDefault="00B764FC">
            <w:pPr>
              <w:ind w:right="186"/>
              <w:jc w:val="center"/>
              <w:rPr>
                <w:sz w:val="20"/>
                <w:szCs w:val="20"/>
              </w:rPr>
            </w:pPr>
            <w:r>
              <w:rPr>
                <w:sz w:val="20"/>
                <w:szCs w:val="20"/>
              </w:rPr>
              <w:t>8,972</w:t>
            </w:r>
          </w:p>
        </w:tc>
        <w:tc>
          <w:tcPr>
            <w:tcW w:w="992" w:type="dxa"/>
            <w:tcBorders>
              <w:left w:val="nil"/>
              <w:right w:val="nil"/>
            </w:tcBorders>
            <w:vAlign w:val="center"/>
          </w:tcPr>
          <w:p w14:paraId="5B310A57" w14:textId="77777777" w:rsidR="00B764FC" w:rsidRDefault="00B764FC">
            <w:pPr>
              <w:ind w:right="186"/>
              <w:jc w:val="center"/>
              <w:rPr>
                <w:sz w:val="20"/>
                <w:szCs w:val="20"/>
              </w:rPr>
            </w:pPr>
            <w:r>
              <w:rPr>
                <w:sz w:val="20"/>
                <w:szCs w:val="20"/>
              </w:rPr>
              <w:t>39</w:t>
            </w:r>
          </w:p>
        </w:tc>
        <w:tc>
          <w:tcPr>
            <w:tcW w:w="1242" w:type="dxa"/>
            <w:tcBorders>
              <w:left w:val="nil"/>
              <w:right w:val="nil"/>
            </w:tcBorders>
            <w:shd w:val="clear" w:color="auto" w:fill="FFFFFF"/>
            <w:vAlign w:val="center"/>
          </w:tcPr>
          <w:p w14:paraId="03669256" w14:textId="77777777" w:rsidR="00B764FC" w:rsidRDefault="00B764FC">
            <w:pPr>
              <w:ind w:right="186"/>
              <w:jc w:val="center"/>
              <w:rPr>
                <w:sz w:val="20"/>
                <w:szCs w:val="20"/>
              </w:rPr>
            </w:pPr>
            <w:r>
              <w:rPr>
                <w:sz w:val="20"/>
                <w:szCs w:val="20"/>
              </w:rPr>
              <w:t>0</w:t>
            </w:r>
          </w:p>
        </w:tc>
        <w:tc>
          <w:tcPr>
            <w:tcW w:w="1178" w:type="dxa"/>
            <w:tcBorders>
              <w:left w:val="nil"/>
              <w:right w:val="nil"/>
            </w:tcBorders>
            <w:vAlign w:val="center"/>
          </w:tcPr>
          <w:p w14:paraId="1108A1D8" w14:textId="77777777" w:rsidR="00B764FC" w:rsidRDefault="00B764FC">
            <w:pPr>
              <w:ind w:right="186"/>
              <w:jc w:val="center"/>
              <w:rPr>
                <w:sz w:val="20"/>
                <w:szCs w:val="20"/>
              </w:rPr>
            </w:pPr>
            <w:r>
              <w:rPr>
                <w:sz w:val="20"/>
                <w:szCs w:val="20"/>
              </w:rPr>
              <w:t>3,481</w:t>
            </w:r>
          </w:p>
        </w:tc>
        <w:tc>
          <w:tcPr>
            <w:tcW w:w="1429" w:type="dxa"/>
            <w:tcBorders>
              <w:left w:val="nil"/>
              <w:right w:val="nil"/>
            </w:tcBorders>
            <w:shd w:val="clear" w:color="auto" w:fill="C0C0C0"/>
            <w:vAlign w:val="center"/>
          </w:tcPr>
          <w:p w14:paraId="1335A294" w14:textId="77777777" w:rsidR="00B764FC" w:rsidRDefault="00B764FC">
            <w:pPr>
              <w:ind w:right="186"/>
              <w:jc w:val="center"/>
              <w:rPr>
                <w:sz w:val="20"/>
                <w:szCs w:val="20"/>
              </w:rPr>
            </w:pPr>
            <w:r>
              <w:rPr>
                <w:sz w:val="20"/>
                <w:szCs w:val="20"/>
              </w:rPr>
              <w:t>12,492</w:t>
            </w:r>
          </w:p>
        </w:tc>
      </w:tr>
      <w:tr w:rsidR="00B764FC" w14:paraId="228B09A7" w14:textId="77777777">
        <w:trPr>
          <w:trHeight w:val="397"/>
        </w:trPr>
        <w:tc>
          <w:tcPr>
            <w:tcW w:w="3227" w:type="dxa"/>
            <w:tcBorders>
              <w:left w:val="nil"/>
              <w:right w:val="nil"/>
            </w:tcBorders>
            <w:vAlign w:val="center"/>
          </w:tcPr>
          <w:p w14:paraId="3208D23D" w14:textId="77777777" w:rsidR="00B764FC" w:rsidRDefault="00B764FC">
            <w:pPr>
              <w:rPr>
                <w:sz w:val="20"/>
                <w:szCs w:val="20"/>
              </w:rPr>
            </w:pPr>
            <w:r>
              <w:rPr>
                <w:sz w:val="20"/>
                <w:szCs w:val="20"/>
              </w:rPr>
              <w:t>Urban Geelong</w:t>
            </w:r>
          </w:p>
        </w:tc>
        <w:tc>
          <w:tcPr>
            <w:tcW w:w="1418" w:type="dxa"/>
            <w:tcBorders>
              <w:left w:val="nil"/>
              <w:right w:val="nil"/>
            </w:tcBorders>
            <w:shd w:val="clear" w:color="auto" w:fill="FFFFFF"/>
            <w:vAlign w:val="center"/>
          </w:tcPr>
          <w:p w14:paraId="17762B74" w14:textId="77777777" w:rsidR="00B764FC" w:rsidRDefault="00B764FC">
            <w:pPr>
              <w:ind w:right="186"/>
              <w:jc w:val="center"/>
              <w:rPr>
                <w:sz w:val="20"/>
                <w:szCs w:val="20"/>
              </w:rPr>
            </w:pPr>
            <w:r>
              <w:rPr>
                <w:sz w:val="20"/>
                <w:szCs w:val="20"/>
              </w:rPr>
              <w:t>3,886</w:t>
            </w:r>
          </w:p>
        </w:tc>
        <w:tc>
          <w:tcPr>
            <w:tcW w:w="992" w:type="dxa"/>
            <w:tcBorders>
              <w:left w:val="nil"/>
              <w:right w:val="nil"/>
            </w:tcBorders>
            <w:vAlign w:val="center"/>
          </w:tcPr>
          <w:p w14:paraId="2B6DCAF2" w14:textId="77777777" w:rsidR="00B764FC" w:rsidRDefault="00B764FC">
            <w:pPr>
              <w:ind w:right="186"/>
              <w:jc w:val="center"/>
              <w:rPr>
                <w:sz w:val="20"/>
                <w:szCs w:val="20"/>
              </w:rPr>
            </w:pPr>
            <w:r>
              <w:rPr>
                <w:sz w:val="20"/>
                <w:szCs w:val="20"/>
              </w:rPr>
              <w:t>785</w:t>
            </w:r>
          </w:p>
        </w:tc>
        <w:tc>
          <w:tcPr>
            <w:tcW w:w="1242" w:type="dxa"/>
            <w:tcBorders>
              <w:left w:val="nil"/>
              <w:right w:val="nil"/>
            </w:tcBorders>
            <w:shd w:val="clear" w:color="auto" w:fill="FFFFFF"/>
            <w:vAlign w:val="center"/>
          </w:tcPr>
          <w:p w14:paraId="2E0F7C88" w14:textId="77777777" w:rsidR="00B764FC" w:rsidRDefault="00B764FC">
            <w:pPr>
              <w:ind w:right="186"/>
              <w:jc w:val="center"/>
              <w:rPr>
                <w:sz w:val="20"/>
                <w:szCs w:val="20"/>
              </w:rPr>
            </w:pPr>
            <w:r>
              <w:rPr>
                <w:sz w:val="20"/>
                <w:szCs w:val="20"/>
              </w:rPr>
              <w:t>5,543</w:t>
            </w:r>
          </w:p>
        </w:tc>
        <w:tc>
          <w:tcPr>
            <w:tcW w:w="1178" w:type="dxa"/>
            <w:tcBorders>
              <w:left w:val="nil"/>
              <w:right w:val="nil"/>
            </w:tcBorders>
            <w:vAlign w:val="center"/>
          </w:tcPr>
          <w:p w14:paraId="23294659" w14:textId="77777777" w:rsidR="00B764FC" w:rsidRDefault="00B764FC">
            <w:pPr>
              <w:ind w:right="186"/>
              <w:jc w:val="center"/>
              <w:rPr>
                <w:sz w:val="20"/>
                <w:szCs w:val="20"/>
              </w:rPr>
            </w:pPr>
            <w:r>
              <w:rPr>
                <w:sz w:val="20"/>
                <w:szCs w:val="20"/>
              </w:rPr>
              <w:t>411</w:t>
            </w:r>
          </w:p>
        </w:tc>
        <w:tc>
          <w:tcPr>
            <w:tcW w:w="1429" w:type="dxa"/>
            <w:tcBorders>
              <w:left w:val="nil"/>
              <w:right w:val="nil"/>
            </w:tcBorders>
            <w:shd w:val="clear" w:color="auto" w:fill="C0C0C0"/>
            <w:vAlign w:val="center"/>
          </w:tcPr>
          <w:p w14:paraId="017C8F1D" w14:textId="77777777" w:rsidR="00B764FC" w:rsidRDefault="00B764FC">
            <w:pPr>
              <w:ind w:right="186"/>
              <w:jc w:val="center"/>
              <w:rPr>
                <w:sz w:val="20"/>
                <w:szCs w:val="20"/>
              </w:rPr>
            </w:pPr>
            <w:r>
              <w:rPr>
                <w:sz w:val="20"/>
                <w:szCs w:val="20"/>
              </w:rPr>
              <w:t>10,625</w:t>
            </w:r>
          </w:p>
        </w:tc>
      </w:tr>
      <w:tr w:rsidR="00B764FC" w14:paraId="1FDC7A8F" w14:textId="77777777">
        <w:trPr>
          <w:trHeight w:val="397"/>
        </w:trPr>
        <w:tc>
          <w:tcPr>
            <w:tcW w:w="3227" w:type="dxa"/>
            <w:tcBorders>
              <w:left w:val="nil"/>
              <w:right w:val="nil"/>
            </w:tcBorders>
            <w:vAlign w:val="center"/>
          </w:tcPr>
          <w:p w14:paraId="4AFE1566" w14:textId="77777777" w:rsidR="00B764FC" w:rsidRDefault="00B764FC">
            <w:pPr>
              <w:rPr>
                <w:sz w:val="20"/>
                <w:szCs w:val="20"/>
              </w:rPr>
            </w:pPr>
            <w:r>
              <w:rPr>
                <w:sz w:val="20"/>
                <w:szCs w:val="20"/>
              </w:rPr>
              <w:t>Lara</w:t>
            </w:r>
          </w:p>
        </w:tc>
        <w:tc>
          <w:tcPr>
            <w:tcW w:w="1418" w:type="dxa"/>
            <w:tcBorders>
              <w:left w:val="nil"/>
              <w:right w:val="nil"/>
            </w:tcBorders>
            <w:shd w:val="clear" w:color="auto" w:fill="FFFFFF"/>
            <w:vAlign w:val="center"/>
          </w:tcPr>
          <w:p w14:paraId="1087C535" w14:textId="77777777" w:rsidR="00B764FC" w:rsidRDefault="00B764FC">
            <w:pPr>
              <w:ind w:right="186"/>
              <w:jc w:val="center"/>
              <w:rPr>
                <w:sz w:val="20"/>
                <w:szCs w:val="20"/>
              </w:rPr>
            </w:pPr>
            <w:r>
              <w:rPr>
                <w:sz w:val="20"/>
                <w:szCs w:val="20"/>
              </w:rPr>
              <w:t>5,297</w:t>
            </w:r>
          </w:p>
        </w:tc>
        <w:tc>
          <w:tcPr>
            <w:tcW w:w="992" w:type="dxa"/>
            <w:tcBorders>
              <w:left w:val="nil"/>
              <w:right w:val="nil"/>
            </w:tcBorders>
            <w:vAlign w:val="center"/>
          </w:tcPr>
          <w:p w14:paraId="43A547A3" w14:textId="77777777" w:rsidR="00B764FC" w:rsidRDefault="00B764FC">
            <w:pPr>
              <w:ind w:right="186"/>
              <w:jc w:val="center"/>
              <w:rPr>
                <w:sz w:val="20"/>
                <w:szCs w:val="20"/>
              </w:rPr>
            </w:pPr>
          </w:p>
        </w:tc>
        <w:tc>
          <w:tcPr>
            <w:tcW w:w="1242" w:type="dxa"/>
            <w:tcBorders>
              <w:left w:val="nil"/>
              <w:right w:val="nil"/>
            </w:tcBorders>
            <w:shd w:val="clear" w:color="auto" w:fill="FFFFFF"/>
            <w:vAlign w:val="center"/>
          </w:tcPr>
          <w:p w14:paraId="36BA19B3" w14:textId="77777777" w:rsidR="00B764FC" w:rsidRDefault="00B764FC">
            <w:pPr>
              <w:ind w:right="186"/>
              <w:jc w:val="center"/>
              <w:rPr>
                <w:sz w:val="20"/>
                <w:szCs w:val="20"/>
              </w:rPr>
            </w:pPr>
          </w:p>
        </w:tc>
        <w:tc>
          <w:tcPr>
            <w:tcW w:w="1178" w:type="dxa"/>
            <w:tcBorders>
              <w:left w:val="nil"/>
              <w:right w:val="nil"/>
            </w:tcBorders>
            <w:vAlign w:val="center"/>
          </w:tcPr>
          <w:p w14:paraId="1C78A792" w14:textId="77777777" w:rsidR="00B764FC" w:rsidRDefault="00B764FC">
            <w:pPr>
              <w:ind w:right="186"/>
              <w:jc w:val="center"/>
              <w:rPr>
                <w:sz w:val="20"/>
                <w:szCs w:val="20"/>
              </w:rPr>
            </w:pPr>
            <w:r>
              <w:rPr>
                <w:sz w:val="20"/>
                <w:szCs w:val="20"/>
              </w:rPr>
              <w:t>715</w:t>
            </w:r>
          </w:p>
        </w:tc>
        <w:tc>
          <w:tcPr>
            <w:tcW w:w="1429" w:type="dxa"/>
            <w:tcBorders>
              <w:left w:val="nil"/>
              <w:right w:val="nil"/>
            </w:tcBorders>
            <w:shd w:val="clear" w:color="auto" w:fill="C0C0C0"/>
            <w:vAlign w:val="center"/>
          </w:tcPr>
          <w:p w14:paraId="5BC140B6" w14:textId="77777777" w:rsidR="00B764FC" w:rsidRDefault="00B764FC">
            <w:pPr>
              <w:ind w:right="186"/>
              <w:jc w:val="center"/>
              <w:rPr>
                <w:sz w:val="20"/>
                <w:szCs w:val="20"/>
              </w:rPr>
            </w:pPr>
            <w:r>
              <w:rPr>
                <w:sz w:val="20"/>
                <w:szCs w:val="20"/>
              </w:rPr>
              <w:t>6,012</w:t>
            </w:r>
          </w:p>
        </w:tc>
      </w:tr>
      <w:tr w:rsidR="00B764FC" w14:paraId="46E05313" w14:textId="77777777">
        <w:trPr>
          <w:trHeight w:val="397"/>
        </w:trPr>
        <w:tc>
          <w:tcPr>
            <w:tcW w:w="3227" w:type="dxa"/>
            <w:tcBorders>
              <w:left w:val="nil"/>
              <w:right w:val="nil"/>
            </w:tcBorders>
            <w:vAlign w:val="center"/>
          </w:tcPr>
          <w:p w14:paraId="68567DC3" w14:textId="77777777" w:rsidR="00B764FC" w:rsidRDefault="00B764FC">
            <w:pPr>
              <w:rPr>
                <w:sz w:val="20"/>
                <w:szCs w:val="20"/>
              </w:rPr>
            </w:pPr>
            <w:r>
              <w:rPr>
                <w:sz w:val="20"/>
                <w:szCs w:val="20"/>
              </w:rPr>
              <w:t>Armstrong Creek</w:t>
            </w:r>
          </w:p>
        </w:tc>
        <w:tc>
          <w:tcPr>
            <w:tcW w:w="1418" w:type="dxa"/>
            <w:tcBorders>
              <w:left w:val="nil"/>
              <w:right w:val="nil"/>
            </w:tcBorders>
            <w:shd w:val="clear" w:color="auto" w:fill="FFFFFF"/>
            <w:vAlign w:val="center"/>
          </w:tcPr>
          <w:p w14:paraId="59239C6C" w14:textId="77777777" w:rsidR="00B764FC" w:rsidRDefault="00B764FC">
            <w:pPr>
              <w:ind w:right="186"/>
              <w:jc w:val="center"/>
              <w:rPr>
                <w:sz w:val="20"/>
                <w:szCs w:val="20"/>
              </w:rPr>
            </w:pPr>
            <w:r>
              <w:rPr>
                <w:sz w:val="20"/>
                <w:szCs w:val="20"/>
              </w:rPr>
              <w:t>18,211</w:t>
            </w:r>
          </w:p>
        </w:tc>
        <w:tc>
          <w:tcPr>
            <w:tcW w:w="992" w:type="dxa"/>
            <w:tcBorders>
              <w:left w:val="nil"/>
              <w:right w:val="nil"/>
            </w:tcBorders>
            <w:vAlign w:val="center"/>
          </w:tcPr>
          <w:p w14:paraId="4634BB5E" w14:textId="77777777" w:rsidR="00B764FC" w:rsidRDefault="00B764FC">
            <w:pPr>
              <w:ind w:right="186"/>
              <w:jc w:val="center"/>
              <w:rPr>
                <w:sz w:val="20"/>
                <w:szCs w:val="20"/>
              </w:rPr>
            </w:pPr>
          </w:p>
        </w:tc>
        <w:tc>
          <w:tcPr>
            <w:tcW w:w="1242" w:type="dxa"/>
            <w:tcBorders>
              <w:left w:val="nil"/>
              <w:right w:val="nil"/>
            </w:tcBorders>
            <w:shd w:val="clear" w:color="auto" w:fill="FFFFFF"/>
            <w:vAlign w:val="center"/>
          </w:tcPr>
          <w:p w14:paraId="7004E0B5" w14:textId="77777777" w:rsidR="00B764FC" w:rsidRDefault="00B764FC">
            <w:pPr>
              <w:ind w:right="186"/>
              <w:jc w:val="center"/>
              <w:rPr>
                <w:sz w:val="20"/>
                <w:szCs w:val="20"/>
              </w:rPr>
            </w:pPr>
          </w:p>
        </w:tc>
        <w:tc>
          <w:tcPr>
            <w:tcW w:w="1178" w:type="dxa"/>
            <w:tcBorders>
              <w:left w:val="nil"/>
              <w:right w:val="nil"/>
            </w:tcBorders>
            <w:vAlign w:val="center"/>
          </w:tcPr>
          <w:p w14:paraId="062D7E9D" w14:textId="77777777" w:rsidR="00B764FC" w:rsidRDefault="00B764FC">
            <w:pPr>
              <w:ind w:right="186"/>
              <w:jc w:val="center"/>
              <w:rPr>
                <w:sz w:val="20"/>
                <w:szCs w:val="20"/>
              </w:rPr>
            </w:pPr>
            <w:r>
              <w:rPr>
                <w:sz w:val="20"/>
                <w:szCs w:val="20"/>
              </w:rPr>
              <w:t>1,450</w:t>
            </w:r>
          </w:p>
        </w:tc>
        <w:tc>
          <w:tcPr>
            <w:tcW w:w="1429" w:type="dxa"/>
            <w:tcBorders>
              <w:left w:val="nil"/>
              <w:right w:val="nil"/>
            </w:tcBorders>
            <w:shd w:val="clear" w:color="auto" w:fill="C0C0C0"/>
            <w:vAlign w:val="center"/>
          </w:tcPr>
          <w:p w14:paraId="1A5EEE15" w14:textId="77777777" w:rsidR="00B764FC" w:rsidRDefault="00B764FC">
            <w:pPr>
              <w:ind w:right="186"/>
              <w:jc w:val="center"/>
              <w:rPr>
                <w:sz w:val="20"/>
                <w:szCs w:val="20"/>
              </w:rPr>
            </w:pPr>
            <w:r>
              <w:rPr>
                <w:sz w:val="20"/>
                <w:szCs w:val="20"/>
              </w:rPr>
              <w:t>19,661</w:t>
            </w:r>
          </w:p>
        </w:tc>
      </w:tr>
      <w:tr w:rsidR="00B764FC" w14:paraId="50CB1CBF" w14:textId="77777777">
        <w:trPr>
          <w:trHeight w:val="397"/>
        </w:trPr>
        <w:tc>
          <w:tcPr>
            <w:tcW w:w="3227" w:type="dxa"/>
            <w:tcBorders>
              <w:left w:val="nil"/>
              <w:right w:val="nil"/>
            </w:tcBorders>
            <w:vAlign w:val="center"/>
          </w:tcPr>
          <w:p w14:paraId="26DFE9A1" w14:textId="77777777" w:rsidR="00B764FC" w:rsidRDefault="00B764FC">
            <w:pPr>
              <w:rPr>
                <w:sz w:val="20"/>
                <w:szCs w:val="20"/>
              </w:rPr>
            </w:pPr>
            <w:r>
              <w:rPr>
                <w:sz w:val="20"/>
                <w:szCs w:val="20"/>
              </w:rPr>
              <w:t>Western Growth Area</w:t>
            </w:r>
          </w:p>
        </w:tc>
        <w:tc>
          <w:tcPr>
            <w:tcW w:w="1418" w:type="dxa"/>
            <w:tcBorders>
              <w:left w:val="nil"/>
              <w:right w:val="nil"/>
            </w:tcBorders>
            <w:shd w:val="clear" w:color="auto" w:fill="FFFFFF"/>
            <w:vAlign w:val="center"/>
          </w:tcPr>
          <w:p w14:paraId="77128446" w14:textId="77777777" w:rsidR="00B764FC" w:rsidRDefault="00B764FC">
            <w:pPr>
              <w:ind w:right="186"/>
              <w:jc w:val="center"/>
              <w:rPr>
                <w:sz w:val="20"/>
                <w:szCs w:val="20"/>
              </w:rPr>
            </w:pPr>
          </w:p>
        </w:tc>
        <w:tc>
          <w:tcPr>
            <w:tcW w:w="992" w:type="dxa"/>
            <w:tcBorders>
              <w:left w:val="nil"/>
              <w:right w:val="nil"/>
            </w:tcBorders>
            <w:vAlign w:val="center"/>
          </w:tcPr>
          <w:p w14:paraId="1C6979E0" w14:textId="77777777" w:rsidR="00B764FC" w:rsidRDefault="00B764FC">
            <w:pPr>
              <w:ind w:right="186"/>
              <w:jc w:val="center"/>
              <w:rPr>
                <w:sz w:val="20"/>
                <w:szCs w:val="20"/>
              </w:rPr>
            </w:pPr>
          </w:p>
        </w:tc>
        <w:tc>
          <w:tcPr>
            <w:tcW w:w="1242" w:type="dxa"/>
            <w:tcBorders>
              <w:left w:val="nil"/>
              <w:right w:val="nil"/>
            </w:tcBorders>
            <w:shd w:val="clear" w:color="auto" w:fill="FFFFFF"/>
            <w:vAlign w:val="center"/>
          </w:tcPr>
          <w:p w14:paraId="15755760" w14:textId="77777777" w:rsidR="00B764FC" w:rsidRDefault="00B764FC">
            <w:pPr>
              <w:ind w:right="186"/>
              <w:jc w:val="center"/>
              <w:rPr>
                <w:sz w:val="20"/>
                <w:szCs w:val="20"/>
              </w:rPr>
            </w:pPr>
          </w:p>
        </w:tc>
        <w:tc>
          <w:tcPr>
            <w:tcW w:w="1178" w:type="dxa"/>
            <w:tcBorders>
              <w:left w:val="nil"/>
              <w:right w:val="nil"/>
            </w:tcBorders>
            <w:vAlign w:val="center"/>
          </w:tcPr>
          <w:p w14:paraId="51A5BEE9" w14:textId="77777777" w:rsidR="00B764FC" w:rsidRDefault="00B764FC">
            <w:pPr>
              <w:ind w:right="186"/>
              <w:jc w:val="center"/>
              <w:rPr>
                <w:sz w:val="20"/>
                <w:szCs w:val="20"/>
              </w:rPr>
            </w:pPr>
            <w:r>
              <w:rPr>
                <w:sz w:val="20"/>
                <w:szCs w:val="20"/>
              </w:rPr>
              <w:t>18,000</w:t>
            </w:r>
          </w:p>
        </w:tc>
        <w:tc>
          <w:tcPr>
            <w:tcW w:w="1429" w:type="dxa"/>
            <w:tcBorders>
              <w:left w:val="nil"/>
              <w:right w:val="nil"/>
            </w:tcBorders>
            <w:shd w:val="clear" w:color="auto" w:fill="C0C0C0"/>
            <w:vAlign w:val="center"/>
          </w:tcPr>
          <w:p w14:paraId="5E99E3F5" w14:textId="77777777" w:rsidR="00B764FC" w:rsidRDefault="00B764FC">
            <w:pPr>
              <w:ind w:right="186"/>
              <w:jc w:val="center"/>
              <w:rPr>
                <w:sz w:val="20"/>
                <w:szCs w:val="20"/>
              </w:rPr>
            </w:pPr>
            <w:r>
              <w:rPr>
                <w:sz w:val="20"/>
                <w:szCs w:val="20"/>
              </w:rPr>
              <w:t>18,000</w:t>
            </w:r>
          </w:p>
        </w:tc>
      </w:tr>
      <w:tr w:rsidR="00B764FC" w14:paraId="77653FDF" w14:textId="77777777">
        <w:trPr>
          <w:trHeight w:val="397"/>
        </w:trPr>
        <w:tc>
          <w:tcPr>
            <w:tcW w:w="3227" w:type="dxa"/>
            <w:tcBorders>
              <w:left w:val="nil"/>
              <w:right w:val="nil"/>
            </w:tcBorders>
            <w:vAlign w:val="center"/>
          </w:tcPr>
          <w:p w14:paraId="1B1AB710" w14:textId="77777777" w:rsidR="00B764FC" w:rsidRDefault="00B764FC">
            <w:pPr>
              <w:rPr>
                <w:sz w:val="20"/>
                <w:szCs w:val="20"/>
              </w:rPr>
            </w:pPr>
            <w:r>
              <w:rPr>
                <w:sz w:val="20"/>
                <w:szCs w:val="20"/>
              </w:rPr>
              <w:t>Northern Growth Area</w:t>
            </w:r>
          </w:p>
        </w:tc>
        <w:tc>
          <w:tcPr>
            <w:tcW w:w="1418" w:type="dxa"/>
            <w:tcBorders>
              <w:left w:val="nil"/>
              <w:right w:val="nil"/>
            </w:tcBorders>
            <w:shd w:val="clear" w:color="auto" w:fill="FFFFFF"/>
            <w:vAlign w:val="center"/>
          </w:tcPr>
          <w:p w14:paraId="6AED94F6" w14:textId="77777777" w:rsidR="00B764FC" w:rsidRDefault="00B764FC">
            <w:pPr>
              <w:ind w:right="186"/>
              <w:jc w:val="center"/>
              <w:rPr>
                <w:sz w:val="20"/>
                <w:szCs w:val="20"/>
              </w:rPr>
            </w:pPr>
          </w:p>
        </w:tc>
        <w:tc>
          <w:tcPr>
            <w:tcW w:w="992" w:type="dxa"/>
            <w:tcBorders>
              <w:left w:val="nil"/>
              <w:right w:val="nil"/>
            </w:tcBorders>
            <w:vAlign w:val="center"/>
          </w:tcPr>
          <w:p w14:paraId="37788B64" w14:textId="77777777" w:rsidR="00B764FC" w:rsidRDefault="00B764FC">
            <w:pPr>
              <w:ind w:right="186"/>
              <w:jc w:val="center"/>
              <w:rPr>
                <w:sz w:val="20"/>
                <w:szCs w:val="20"/>
              </w:rPr>
            </w:pPr>
          </w:p>
        </w:tc>
        <w:tc>
          <w:tcPr>
            <w:tcW w:w="1242" w:type="dxa"/>
            <w:tcBorders>
              <w:left w:val="nil"/>
              <w:right w:val="nil"/>
            </w:tcBorders>
            <w:shd w:val="clear" w:color="auto" w:fill="FFFFFF"/>
            <w:vAlign w:val="center"/>
          </w:tcPr>
          <w:p w14:paraId="26885611" w14:textId="77777777" w:rsidR="00B764FC" w:rsidRDefault="00B764FC">
            <w:pPr>
              <w:ind w:right="186"/>
              <w:jc w:val="center"/>
              <w:rPr>
                <w:sz w:val="20"/>
                <w:szCs w:val="20"/>
              </w:rPr>
            </w:pPr>
          </w:p>
        </w:tc>
        <w:tc>
          <w:tcPr>
            <w:tcW w:w="1178" w:type="dxa"/>
            <w:tcBorders>
              <w:left w:val="nil"/>
              <w:right w:val="nil"/>
            </w:tcBorders>
            <w:vAlign w:val="center"/>
          </w:tcPr>
          <w:p w14:paraId="575AA2BD" w14:textId="77777777" w:rsidR="00B764FC" w:rsidRDefault="00B764FC">
            <w:pPr>
              <w:ind w:right="186"/>
              <w:jc w:val="center"/>
              <w:rPr>
                <w:sz w:val="20"/>
                <w:szCs w:val="20"/>
              </w:rPr>
            </w:pPr>
            <w:r>
              <w:rPr>
                <w:sz w:val="20"/>
                <w:szCs w:val="20"/>
              </w:rPr>
              <w:t>16,000</w:t>
            </w:r>
          </w:p>
        </w:tc>
        <w:tc>
          <w:tcPr>
            <w:tcW w:w="1429" w:type="dxa"/>
            <w:tcBorders>
              <w:left w:val="nil"/>
              <w:right w:val="nil"/>
            </w:tcBorders>
            <w:shd w:val="clear" w:color="auto" w:fill="C0C0C0"/>
            <w:vAlign w:val="center"/>
          </w:tcPr>
          <w:p w14:paraId="4B222153" w14:textId="77777777" w:rsidR="00B764FC" w:rsidRDefault="00B764FC">
            <w:pPr>
              <w:ind w:right="186"/>
              <w:jc w:val="center"/>
              <w:rPr>
                <w:sz w:val="20"/>
                <w:szCs w:val="20"/>
              </w:rPr>
            </w:pPr>
            <w:r>
              <w:rPr>
                <w:sz w:val="20"/>
                <w:szCs w:val="20"/>
              </w:rPr>
              <w:t>16,000</w:t>
            </w:r>
          </w:p>
        </w:tc>
      </w:tr>
      <w:tr w:rsidR="00B764FC" w14:paraId="7540B334" w14:textId="77777777">
        <w:trPr>
          <w:trHeight w:val="397"/>
        </w:trPr>
        <w:tc>
          <w:tcPr>
            <w:tcW w:w="3227" w:type="dxa"/>
            <w:tcBorders>
              <w:left w:val="nil"/>
              <w:right w:val="nil"/>
            </w:tcBorders>
            <w:shd w:val="clear" w:color="auto" w:fill="C0C0C0"/>
            <w:vAlign w:val="center"/>
          </w:tcPr>
          <w:p w14:paraId="02503C3C" w14:textId="77777777" w:rsidR="00B764FC" w:rsidRDefault="00B764FC">
            <w:pPr>
              <w:rPr>
                <w:b/>
                <w:bCs/>
                <w:i/>
                <w:iCs/>
                <w:color w:val="FFFFFF"/>
                <w:sz w:val="20"/>
                <w:szCs w:val="20"/>
              </w:rPr>
            </w:pPr>
            <w:r>
              <w:rPr>
                <w:b/>
                <w:bCs/>
                <w:i/>
                <w:iCs/>
                <w:color w:val="FFFFFF"/>
                <w:sz w:val="20"/>
                <w:szCs w:val="20"/>
              </w:rPr>
              <w:t>Total</w:t>
            </w:r>
          </w:p>
        </w:tc>
        <w:tc>
          <w:tcPr>
            <w:tcW w:w="1418" w:type="dxa"/>
            <w:tcBorders>
              <w:left w:val="nil"/>
              <w:right w:val="nil"/>
            </w:tcBorders>
            <w:shd w:val="clear" w:color="auto" w:fill="C0C0C0"/>
            <w:vAlign w:val="center"/>
          </w:tcPr>
          <w:p w14:paraId="5B2384C4" w14:textId="77777777" w:rsidR="00B764FC" w:rsidRDefault="00B764FC">
            <w:pPr>
              <w:ind w:right="186"/>
              <w:jc w:val="center"/>
              <w:rPr>
                <w:b/>
                <w:bCs/>
                <w:i/>
                <w:iCs/>
                <w:color w:val="FFFFFF"/>
                <w:sz w:val="20"/>
                <w:szCs w:val="20"/>
              </w:rPr>
            </w:pPr>
            <w:r>
              <w:rPr>
                <w:b/>
                <w:bCs/>
                <w:i/>
                <w:iCs/>
                <w:color w:val="FFFFFF"/>
                <w:sz w:val="20"/>
                <w:szCs w:val="20"/>
              </w:rPr>
              <w:t>36,366</w:t>
            </w:r>
          </w:p>
        </w:tc>
        <w:tc>
          <w:tcPr>
            <w:tcW w:w="992" w:type="dxa"/>
            <w:tcBorders>
              <w:left w:val="nil"/>
              <w:right w:val="nil"/>
            </w:tcBorders>
            <w:shd w:val="clear" w:color="auto" w:fill="C0C0C0"/>
            <w:vAlign w:val="center"/>
          </w:tcPr>
          <w:p w14:paraId="7CA92B2B" w14:textId="77777777" w:rsidR="00B764FC" w:rsidRDefault="00B764FC">
            <w:pPr>
              <w:ind w:right="186"/>
              <w:jc w:val="center"/>
              <w:rPr>
                <w:b/>
                <w:bCs/>
                <w:i/>
                <w:iCs/>
                <w:color w:val="FFFFFF"/>
                <w:sz w:val="20"/>
                <w:szCs w:val="20"/>
              </w:rPr>
            </w:pPr>
            <w:r>
              <w:rPr>
                <w:b/>
                <w:bCs/>
                <w:i/>
                <w:iCs/>
                <w:color w:val="FFFFFF"/>
                <w:sz w:val="20"/>
                <w:szCs w:val="20"/>
              </w:rPr>
              <w:t>824</w:t>
            </w:r>
          </w:p>
        </w:tc>
        <w:tc>
          <w:tcPr>
            <w:tcW w:w="1242" w:type="dxa"/>
            <w:tcBorders>
              <w:left w:val="nil"/>
              <w:right w:val="nil"/>
            </w:tcBorders>
            <w:shd w:val="clear" w:color="auto" w:fill="C0C0C0"/>
            <w:vAlign w:val="center"/>
          </w:tcPr>
          <w:p w14:paraId="00EA0AE9" w14:textId="77777777" w:rsidR="00B764FC" w:rsidRDefault="00B764FC">
            <w:pPr>
              <w:ind w:right="186"/>
              <w:jc w:val="center"/>
              <w:rPr>
                <w:b/>
                <w:bCs/>
                <w:i/>
                <w:iCs/>
                <w:color w:val="FFFFFF"/>
                <w:sz w:val="20"/>
                <w:szCs w:val="20"/>
              </w:rPr>
            </w:pPr>
            <w:r>
              <w:rPr>
                <w:b/>
                <w:bCs/>
                <w:i/>
                <w:iCs/>
                <w:color w:val="FFFFFF"/>
                <w:sz w:val="20"/>
                <w:szCs w:val="20"/>
              </w:rPr>
              <w:t>5,543</w:t>
            </w:r>
          </w:p>
        </w:tc>
        <w:tc>
          <w:tcPr>
            <w:tcW w:w="1178" w:type="dxa"/>
            <w:tcBorders>
              <w:left w:val="nil"/>
              <w:right w:val="nil"/>
            </w:tcBorders>
            <w:shd w:val="clear" w:color="auto" w:fill="C0C0C0"/>
            <w:vAlign w:val="center"/>
          </w:tcPr>
          <w:p w14:paraId="2DB12A8B" w14:textId="77777777" w:rsidR="00B764FC" w:rsidRDefault="00B764FC">
            <w:pPr>
              <w:ind w:right="186"/>
              <w:jc w:val="center"/>
              <w:rPr>
                <w:b/>
                <w:bCs/>
                <w:i/>
                <w:iCs/>
                <w:color w:val="FFFFFF"/>
                <w:sz w:val="20"/>
                <w:szCs w:val="20"/>
              </w:rPr>
            </w:pPr>
            <w:r>
              <w:rPr>
                <w:b/>
                <w:bCs/>
                <w:i/>
                <w:iCs/>
                <w:color w:val="FFFFFF"/>
                <w:sz w:val="20"/>
                <w:szCs w:val="20"/>
              </w:rPr>
              <w:t>40,057</w:t>
            </w:r>
          </w:p>
        </w:tc>
        <w:tc>
          <w:tcPr>
            <w:tcW w:w="1429" w:type="dxa"/>
            <w:tcBorders>
              <w:left w:val="nil"/>
              <w:right w:val="nil"/>
            </w:tcBorders>
            <w:shd w:val="clear" w:color="auto" w:fill="C0C0C0"/>
            <w:vAlign w:val="center"/>
          </w:tcPr>
          <w:p w14:paraId="00B9DC2F" w14:textId="77777777" w:rsidR="00B764FC" w:rsidRDefault="00B764FC">
            <w:pPr>
              <w:ind w:right="186"/>
              <w:jc w:val="center"/>
              <w:rPr>
                <w:b/>
                <w:bCs/>
                <w:i/>
                <w:iCs/>
                <w:color w:val="FFFFFF"/>
                <w:sz w:val="20"/>
                <w:szCs w:val="20"/>
              </w:rPr>
            </w:pPr>
            <w:r>
              <w:rPr>
                <w:b/>
                <w:bCs/>
                <w:i/>
                <w:iCs/>
                <w:color w:val="FFFFFF"/>
                <w:sz w:val="20"/>
                <w:szCs w:val="20"/>
              </w:rPr>
              <w:t>82,790</w:t>
            </w:r>
          </w:p>
        </w:tc>
      </w:tr>
    </w:tbl>
    <w:p w14:paraId="4E27B5F5" w14:textId="77777777" w:rsidR="00B764FC" w:rsidRDefault="00B764FC">
      <w:pPr>
        <w:pStyle w:val="TF"/>
        <w:spacing w:after="240"/>
        <w:rPr>
          <w:i/>
          <w:iCs/>
        </w:rPr>
      </w:pPr>
      <w:r>
        <w:rPr>
          <w:i/>
          <w:iCs/>
        </w:rPr>
        <w:t>Source</w:t>
      </w:r>
      <w:r>
        <w:t>:</w:t>
      </w:r>
      <w:r>
        <w:tab/>
        <w:t xml:space="preserve">City of Greater Geelong </w:t>
      </w:r>
      <w:r>
        <w:rPr>
          <w:i/>
          <w:iCs/>
        </w:rPr>
        <w:t>Settlement Strategy</w:t>
      </w:r>
    </w:p>
    <w:p w14:paraId="647C6087" w14:textId="77777777" w:rsidR="00B764FC" w:rsidRDefault="00B764FC">
      <w:pPr>
        <w:spacing w:after="240" w:line="276" w:lineRule="auto"/>
        <w:jc w:val="both"/>
        <w:rPr>
          <w:sz w:val="22"/>
          <w:szCs w:val="22"/>
        </w:rPr>
      </w:pPr>
      <w:r>
        <w:rPr>
          <w:sz w:val="22"/>
          <w:szCs w:val="22"/>
        </w:rPr>
        <w:t xml:space="preserve">The majority of land supply for future housing in Geelong will come from broad hectare development of greenfield sites.  </w:t>
      </w:r>
    </w:p>
    <w:p w14:paraId="129003CC" w14:textId="77777777" w:rsidR="00B764FC" w:rsidRDefault="00B764FC">
      <w:pPr>
        <w:spacing w:after="240" w:line="276" w:lineRule="auto"/>
        <w:jc w:val="both"/>
        <w:rPr>
          <w:sz w:val="22"/>
          <w:szCs w:val="22"/>
        </w:rPr>
      </w:pPr>
      <w:r>
        <w:rPr>
          <w:sz w:val="22"/>
          <w:szCs w:val="22"/>
        </w:rPr>
        <w:t>In these circumstances the City of Greater Geelong has limited capacity to influence the development of social and affordable housing through framework plans, precinct structure plans and negotiations with developers.  These plans and negotiations can include a focus on the future provision of social and affordable housing.</w:t>
      </w:r>
    </w:p>
    <w:p w14:paraId="39EE5A0A" w14:textId="77777777" w:rsidR="00B764FC" w:rsidRDefault="00B764FC">
      <w:pPr>
        <w:spacing w:after="240" w:line="276" w:lineRule="auto"/>
        <w:jc w:val="both"/>
        <w:rPr>
          <w:sz w:val="22"/>
          <w:szCs w:val="22"/>
        </w:rPr>
      </w:pPr>
      <w:r>
        <w:rPr>
          <w:sz w:val="22"/>
          <w:szCs w:val="22"/>
        </w:rPr>
        <w:t xml:space="preserve">The </w:t>
      </w:r>
      <w:r>
        <w:rPr>
          <w:i/>
          <w:iCs/>
          <w:sz w:val="22"/>
          <w:szCs w:val="22"/>
        </w:rPr>
        <w:t>Settlement Strategy</w:t>
      </w:r>
      <w:r>
        <w:rPr>
          <w:sz w:val="22"/>
          <w:szCs w:val="22"/>
        </w:rPr>
        <w:t xml:space="preserve"> identifies the following broad hectare developments in specific Areas:</w:t>
      </w:r>
    </w:p>
    <w:p w14:paraId="0800FC91"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Completion of development of areas of remnant broad-hectare land within the Geelong Ring Road, including Highton and Fyansford</w:t>
      </w:r>
    </w:p>
    <w:p w14:paraId="28E5EC5E"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Progressive development of zoned broad-hectare land in Lara</w:t>
      </w:r>
    </w:p>
    <w:p w14:paraId="17A993A3"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Continuing development of the zoned Armstrong Creek growth area, as per the framework plan</w:t>
      </w:r>
    </w:p>
    <w:p w14:paraId="5F91A49C"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The longer-term development of the Northern Geelong (Lovely Banks) Growth Area</w:t>
      </w:r>
    </w:p>
    <w:p w14:paraId="7164F10D" w14:textId="77777777" w:rsidR="00B764FC" w:rsidRDefault="00B764FC" w:rsidP="00077040">
      <w:pPr>
        <w:pStyle w:val="ListParagraph"/>
        <w:numPr>
          <w:ilvl w:val="0"/>
          <w:numId w:val="38"/>
        </w:numPr>
        <w:tabs>
          <w:tab w:val="clear" w:pos="360"/>
          <w:tab w:val="num" w:pos="1418"/>
        </w:tabs>
        <w:spacing w:before="60" w:line="276" w:lineRule="auto"/>
        <w:ind w:left="567" w:hanging="567"/>
        <w:jc w:val="both"/>
        <w:rPr>
          <w:sz w:val="22"/>
          <w:szCs w:val="22"/>
        </w:rPr>
      </w:pPr>
      <w:r>
        <w:rPr>
          <w:sz w:val="22"/>
          <w:szCs w:val="22"/>
        </w:rPr>
        <w:t xml:space="preserve">The longer-term development of the Western Geelong (Batesford) Growth Area </w:t>
      </w:r>
    </w:p>
    <w:p w14:paraId="48806DA4" w14:textId="77777777" w:rsidR="00B764FC" w:rsidRDefault="00B764FC" w:rsidP="00077040">
      <w:pPr>
        <w:pStyle w:val="ListParagraph"/>
        <w:numPr>
          <w:ilvl w:val="0"/>
          <w:numId w:val="38"/>
        </w:numPr>
        <w:tabs>
          <w:tab w:val="clear" w:pos="360"/>
          <w:tab w:val="num" w:pos="1418"/>
        </w:tabs>
        <w:spacing w:before="60" w:after="240" w:line="276" w:lineRule="auto"/>
        <w:ind w:left="567" w:hanging="567"/>
        <w:jc w:val="both"/>
        <w:rPr>
          <w:sz w:val="22"/>
          <w:szCs w:val="22"/>
        </w:rPr>
      </w:pPr>
      <w:r>
        <w:rPr>
          <w:sz w:val="22"/>
          <w:szCs w:val="22"/>
        </w:rPr>
        <w:t>Continuing development of identified broad-hectare land on the Bellarine Peninsula, within Ocean Grove, Portarlington, St Leonards, Drysdale/Clifton Springs and Leopold.</w:t>
      </w:r>
    </w:p>
    <w:p w14:paraId="01FB1867" w14:textId="43EC3072" w:rsidR="00B764FC" w:rsidRDefault="00B764FC">
      <w:pPr>
        <w:spacing w:line="276" w:lineRule="auto"/>
        <w:jc w:val="both"/>
        <w:rPr>
          <w:sz w:val="22"/>
          <w:szCs w:val="22"/>
        </w:rPr>
      </w:pPr>
      <w:r>
        <w:rPr>
          <w:sz w:val="22"/>
          <w:szCs w:val="22"/>
        </w:rPr>
        <w:t>Additional supply will come from areas which are already established - referred to as urban consolidation.</w:t>
      </w:r>
      <w:bookmarkEnd w:id="135"/>
      <w:r>
        <w:rPr>
          <w:sz w:val="22"/>
          <w:szCs w:val="22"/>
        </w:rPr>
        <w:t xml:space="preserve">  Urban consolidation is essentially infill development and redevelopment in established suburbs. Such developments generally result in higher density dwellings in appropriate locations, close to activity centres (e.g. town centres, railway stations and shopping centres).</w:t>
      </w:r>
    </w:p>
    <w:p w14:paraId="18E3E982" w14:textId="77777777" w:rsidR="00B764FC" w:rsidRDefault="00B764FC">
      <w:pPr>
        <w:spacing w:line="276" w:lineRule="auto"/>
        <w:jc w:val="both"/>
        <w:rPr>
          <w:sz w:val="22"/>
          <w:szCs w:val="22"/>
        </w:rPr>
      </w:pPr>
    </w:p>
    <w:p w14:paraId="7A81DBA5" w14:textId="77777777" w:rsidR="00B764FC" w:rsidRDefault="00B764FC">
      <w:pPr>
        <w:spacing w:after="240" w:line="276" w:lineRule="auto"/>
        <w:jc w:val="both"/>
        <w:rPr>
          <w:sz w:val="22"/>
          <w:szCs w:val="22"/>
        </w:rPr>
      </w:pPr>
      <w:r>
        <w:rPr>
          <w:sz w:val="22"/>
          <w:szCs w:val="22"/>
        </w:rPr>
        <w:t xml:space="preserve">The </w:t>
      </w:r>
      <w:r>
        <w:rPr>
          <w:i/>
          <w:iCs/>
          <w:sz w:val="22"/>
          <w:szCs w:val="22"/>
        </w:rPr>
        <w:t>Settlement Strategy</w:t>
      </w:r>
      <w:r>
        <w:rPr>
          <w:sz w:val="22"/>
          <w:szCs w:val="22"/>
        </w:rPr>
        <w:t xml:space="preserve"> includes an urban consolidation strategy comprising three main types:</w:t>
      </w:r>
    </w:p>
    <w:p w14:paraId="62D43B5B" w14:textId="77777777" w:rsidR="00B764FC" w:rsidRDefault="00B764FC" w:rsidP="00077040">
      <w:pPr>
        <w:pStyle w:val="ListParagraph"/>
        <w:numPr>
          <w:ilvl w:val="0"/>
          <w:numId w:val="38"/>
        </w:numPr>
        <w:tabs>
          <w:tab w:val="clear" w:pos="360"/>
          <w:tab w:val="num" w:pos="1418"/>
        </w:tabs>
        <w:spacing w:line="276" w:lineRule="auto"/>
        <w:ind w:left="567" w:hanging="567"/>
        <w:jc w:val="both"/>
        <w:rPr>
          <w:sz w:val="22"/>
          <w:szCs w:val="22"/>
        </w:rPr>
      </w:pPr>
      <w:r>
        <w:rPr>
          <w:sz w:val="22"/>
          <w:szCs w:val="22"/>
        </w:rPr>
        <w:t>Key Development Areas (Central Geelong, Waurn Ponds, and West Fyans)</w:t>
      </w:r>
    </w:p>
    <w:p w14:paraId="02F5F9FD" w14:textId="77777777" w:rsidR="00B764FC" w:rsidRDefault="00B764FC" w:rsidP="00077040">
      <w:pPr>
        <w:pStyle w:val="ListParagraph"/>
        <w:numPr>
          <w:ilvl w:val="0"/>
          <w:numId w:val="38"/>
        </w:numPr>
        <w:tabs>
          <w:tab w:val="clear" w:pos="360"/>
          <w:tab w:val="num" w:pos="1418"/>
        </w:tabs>
        <w:spacing w:line="276" w:lineRule="auto"/>
        <w:ind w:left="567" w:hanging="567"/>
        <w:jc w:val="both"/>
        <w:rPr>
          <w:sz w:val="22"/>
          <w:szCs w:val="22"/>
        </w:rPr>
      </w:pPr>
      <w:r>
        <w:rPr>
          <w:sz w:val="22"/>
          <w:szCs w:val="22"/>
        </w:rPr>
        <w:t>Increased Housing Diversity Areas (located close to activity centres and selected railway stations)</w:t>
      </w:r>
    </w:p>
    <w:p w14:paraId="31840FEA" w14:textId="77777777" w:rsidR="00B764FC" w:rsidRDefault="00B764FC" w:rsidP="00077040">
      <w:pPr>
        <w:pStyle w:val="ListParagraph"/>
        <w:numPr>
          <w:ilvl w:val="0"/>
          <w:numId w:val="38"/>
        </w:numPr>
        <w:tabs>
          <w:tab w:val="clear" w:pos="360"/>
          <w:tab w:val="num" w:pos="1418"/>
        </w:tabs>
        <w:spacing w:line="276" w:lineRule="auto"/>
        <w:ind w:left="567" w:hanging="567"/>
        <w:jc w:val="both"/>
        <w:rPr>
          <w:sz w:val="22"/>
          <w:szCs w:val="22"/>
        </w:rPr>
      </w:pPr>
      <w:r>
        <w:rPr>
          <w:sz w:val="22"/>
          <w:szCs w:val="22"/>
        </w:rPr>
        <w:t>Incremental Change Areas – modest infill as opportunities arise.</w:t>
      </w:r>
    </w:p>
    <w:p w14:paraId="326355E8" w14:textId="77777777" w:rsidR="00B764FC" w:rsidRDefault="00B764FC">
      <w:pPr>
        <w:spacing w:before="240" w:line="276" w:lineRule="auto"/>
        <w:jc w:val="both"/>
        <w:rPr>
          <w:sz w:val="22"/>
          <w:szCs w:val="22"/>
          <w:lang w:val="en-US"/>
        </w:rPr>
      </w:pPr>
      <w:r>
        <w:rPr>
          <w:sz w:val="22"/>
          <w:szCs w:val="22"/>
          <w:lang w:val="en-US"/>
        </w:rPr>
        <w:t xml:space="preserve">The State Government amendment to the Planning and Environment Act in June 2018 encourages Local Governments, through their planning role, to negotiate with developers to include social housing (and affordable housing) in all new developments. The Amendment now allows Section 173 agreements to be used to secure voluntary commitments to affordable housing as part of a development. </w:t>
      </w:r>
    </w:p>
    <w:p w14:paraId="27E38438" w14:textId="77777777" w:rsidR="00B764FC" w:rsidRDefault="00B764FC">
      <w:pPr>
        <w:spacing w:before="240" w:line="276" w:lineRule="auto"/>
        <w:jc w:val="both"/>
        <w:rPr>
          <w:sz w:val="22"/>
          <w:szCs w:val="22"/>
        </w:rPr>
      </w:pPr>
    </w:p>
    <w:p w14:paraId="5E541123" w14:textId="757369FB" w:rsidR="00B764FC" w:rsidRDefault="00B764FC">
      <w:pPr>
        <w:spacing w:line="276" w:lineRule="auto"/>
        <w:jc w:val="both"/>
        <w:rPr>
          <w:sz w:val="22"/>
          <w:szCs w:val="22"/>
          <w:lang w:val="en-US"/>
        </w:rPr>
      </w:pPr>
      <w:r>
        <w:rPr>
          <w:sz w:val="22"/>
          <w:szCs w:val="22"/>
          <w:lang w:val="en-US"/>
        </w:rPr>
        <w:t xml:space="preserve">In order to meet the existing estimated shortfall of 6,196 social housing dwellings, and the projected increases in demand for social housing, an average of </w:t>
      </w:r>
      <w:r>
        <w:rPr>
          <w:b/>
          <w:bCs/>
          <w:sz w:val="22"/>
          <w:szCs w:val="22"/>
          <w:lang w:val="en-US"/>
        </w:rPr>
        <w:t xml:space="preserve">approximately 18% of all new housing supply would be required as social housing.  This is an average of 706 dwellings per </w:t>
      </w:r>
      <w:r w:rsidR="000D6FCB">
        <w:rPr>
          <w:b/>
          <w:bCs/>
          <w:sz w:val="22"/>
          <w:szCs w:val="22"/>
          <w:lang w:val="en-US"/>
        </w:rPr>
        <w:t xml:space="preserve">year. </w:t>
      </w:r>
    </w:p>
    <w:p w14:paraId="5A225FC7" w14:textId="77777777" w:rsidR="00B764FC" w:rsidRDefault="00B764FC">
      <w:pPr>
        <w:rPr>
          <w:lang w:val="en-US"/>
        </w:rPr>
      </w:pPr>
    </w:p>
    <w:p w14:paraId="73C13CFE" w14:textId="05F7AFC3" w:rsidR="00B764FC" w:rsidRDefault="00B764FC">
      <w:pPr>
        <w:spacing w:after="240"/>
        <w:rPr>
          <w:b/>
          <w:bCs/>
          <w:sz w:val="20"/>
          <w:szCs w:val="20"/>
          <w:lang w:val="en-US"/>
        </w:rPr>
      </w:pPr>
      <w:bookmarkStart w:id="137" w:name="_Toc22120054"/>
      <w:r>
        <w:rPr>
          <w:b/>
          <w:bCs/>
          <w:sz w:val="20"/>
          <w:szCs w:val="20"/>
        </w:rPr>
        <w:t xml:space="preserve">Table </w:t>
      </w:r>
      <w:r w:rsidR="00FF5CA4">
        <w:rPr>
          <w:b/>
          <w:bCs/>
          <w:sz w:val="20"/>
          <w:szCs w:val="20"/>
        </w:rPr>
        <w:fldChar w:fldCharType="begin"/>
      </w:r>
      <w:r>
        <w:rPr>
          <w:b/>
          <w:bCs/>
          <w:sz w:val="20"/>
          <w:szCs w:val="20"/>
        </w:rPr>
        <w:instrText xml:space="preserve"> SEQ Table \* ARABIC </w:instrText>
      </w:r>
      <w:r w:rsidR="00FF5CA4">
        <w:rPr>
          <w:b/>
          <w:bCs/>
          <w:sz w:val="20"/>
          <w:szCs w:val="20"/>
        </w:rPr>
        <w:fldChar w:fldCharType="separate"/>
      </w:r>
      <w:r w:rsidR="00BB479E">
        <w:rPr>
          <w:b/>
          <w:bCs/>
          <w:noProof/>
          <w:sz w:val="20"/>
          <w:szCs w:val="20"/>
        </w:rPr>
        <w:t>19</w:t>
      </w:r>
      <w:r w:rsidR="00FF5CA4">
        <w:rPr>
          <w:b/>
          <w:bCs/>
          <w:sz w:val="20"/>
          <w:szCs w:val="20"/>
        </w:rPr>
        <w:fldChar w:fldCharType="end"/>
      </w:r>
      <w:r>
        <w:rPr>
          <w:b/>
          <w:bCs/>
          <w:sz w:val="20"/>
          <w:szCs w:val="20"/>
        </w:rPr>
        <w:t xml:space="preserve">: </w:t>
      </w:r>
      <w:r>
        <w:rPr>
          <w:b/>
          <w:bCs/>
          <w:sz w:val="20"/>
          <w:szCs w:val="20"/>
          <w:lang w:val="en-US"/>
        </w:rPr>
        <w:t>Estimated social housing supply gap and supply requirements 2016 - 2041</w:t>
      </w:r>
      <w:bookmarkEnd w:id="137"/>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736"/>
        <w:gridCol w:w="1736"/>
        <w:gridCol w:w="1736"/>
        <w:gridCol w:w="1736"/>
        <w:gridCol w:w="1736"/>
      </w:tblGrid>
      <w:tr w:rsidR="00B764FC" w14:paraId="7D45F682" w14:textId="77777777" w:rsidTr="00291EB3">
        <w:trPr>
          <w:trHeight w:val="340"/>
        </w:trPr>
        <w:tc>
          <w:tcPr>
            <w:tcW w:w="1736" w:type="dxa"/>
            <w:tcBorders>
              <w:left w:val="nil"/>
              <w:right w:val="nil"/>
            </w:tcBorders>
            <w:shd w:val="clear" w:color="auto" w:fill="002060"/>
          </w:tcPr>
          <w:p w14:paraId="574DC519" w14:textId="77777777" w:rsidR="00B764FC" w:rsidRDefault="00B764FC">
            <w:pPr>
              <w:rPr>
                <w:b/>
                <w:bCs/>
                <w:color w:val="FFFFFF"/>
                <w:sz w:val="20"/>
                <w:szCs w:val="20"/>
                <w:lang w:val="en-US"/>
              </w:rPr>
            </w:pPr>
            <w:r>
              <w:rPr>
                <w:b/>
                <w:bCs/>
                <w:color w:val="FFFFFF"/>
                <w:sz w:val="20"/>
                <w:szCs w:val="20"/>
                <w:lang w:val="en-US"/>
              </w:rPr>
              <w:t>Year</w:t>
            </w:r>
          </w:p>
        </w:tc>
        <w:tc>
          <w:tcPr>
            <w:tcW w:w="1736" w:type="dxa"/>
            <w:tcBorders>
              <w:left w:val="nil"/>
              <w:right w:val="nil"/>
            </w:tcBorders>
            <w:shd w:val="clear" w:color="auto" w:fill="002060"/>
          </w:tcPr>
          <w:p w14:paraId="5D8F2E6A" w14:textId="77777777" w:rsidR="00B764FC" w:rsidRDefault="00B764FC">
            <w:pPr>
              <w:jc w:val="center"/>
              <w:rPr>
                <w:b/>
                <w:bCs/>
                <w:color w:val="FFFFFF"/>
                <w:sz w:val="20"/>
                <w:szCs w:val="20"/>
                <w:lang w:val="en-US"/>
              </w:rPr>
            </w:pPr>
            <w:r>
              <w:rPr>
                <w:b/>
                <w:bCs/>
                <w:color w:val="FFFFFF"/>
                <w:sz w:val="20"/>
                <w:szCs w:val="20"/>
                <w:lang w:val="en-US"/>
              </w:rPr>
              <w:t>Estimated social housing need</w:t>
            </w:r>
          </w:p>
        </w:tc>
        <w:tc>
          <w:tcPr>
            <w:tcW w:w="1736" w:type="dxa"/>
            <w:tcBorders>
              <w:left w:val="nil"/>
              <w:right w:val="nil"/>
            </w:tcBorders>
            <w:shd w:val="clear" w:color="auto" w:fill="002060"/>
          </w:tcPr>
          <w:p w14:paraId="58F48CA5" w14:textId="77777777" w:rsidR="00B764FC" w:rsidRDefault="00B764FC">
            <w:pPr>
              <w:jc w:val="center"/>
              <w:rPr>
                <w:b/>
                <w:bCs/>
                <w:color w:val="FFFFFF"/>
                <w:sz w:val="20"/>
                <w:szCs w:val="20"/>
                <w:lang w:val="en-US"/>
              </w:rPr>
            </w:pPr>
            <w:r>
              <w:rPr>
                <w:b/>
                <w:bCs/>
                <w:color w:val="FFFFFF"/>
                <w:sz w:val="20"/>
                <w:szCs w:val="20"/>
                <w:lang w:val="en-US"/>
              </w:rPr>
              <w:t>Social housing supply gap (includes 2% attrition)</w:t>
            </w:r>
          </w:p>
        </w:tc>
        <w:tc>
          <w:tcPr>
            <w:tcW w:w="1736" w:type="dxa"/>
            <w:tcBorders>
              <w:left w:val="nil"/>
              <w:right w:val="nil"/>
            </w:tcBorders>
            <w:shd w:val="clear" w:color="auto" w:fill="002060"/>
          </w:tcPr>
          <w:p w14:paraId="38C4849C" w14:textId="77777777" w:rsidR="00B764FC" w:rsidRDefault="00B764FC">
            <w:pPr>
              <w:jc w:val="center"/>
              <w:rPr>
                <w:b/>
                <w:bCs/>
                <w:color w:val="FFFFFF"/>
                <w:sz w:val="20"/>
                <w:szCs w:val="20"/>
                <w:lang w:val="en-US"/>
              </w:rPr>
            </w:pPr>
            <w:r>
              <w:rPr>
                <w:b/>
                <w:bCs/>
                <w:color w:val="FFFFFF"/>
                <w:sz w:val="20"/>
                <w:szCs w:val="20"/>
                <w:lang w:val="en-US"/>
              </w:rPr>
              <w:t>Supply required per annum to address (from 2020)</w:t>
            </w:r>
          </w:p>
        </w:tc>
        <w:tc>
          <w:tcPr>
            <w:tcW w:w="1736" w:type="dxa"/>
            <w:tcBorders>
              <w:left w:val="nil"/>
              <w:right w:val="nil"/>
            </w:tcBorders>
            <w:shd w:val="clear" w:color="auto" w:fill="002060"/>
          </w:tcPr>
          <w:p w14:paraId="66203960" w14:textId="77777777" w:rsidR="00B764FC" w:rsidRDefault="00B764FC">
            <w:pPr>
              <w:jc w:val="center"/>
              <w:rPr>
                <w:b/>
                <w:bCs/>
                <w:color w:val="FFFFFF"/>
                <w:sz w:val="20"/>
                <w:szCs w:val="20"/>
                <w:lang w:val="en-US"/>
              </w:rPr>
            </w:pPr>
            <w:r>
              <w:rPr>
                <w:b/>
                <w:bCs/>
                <w:color w:val="FFFFFF"/>
                <w:sz w:val="20"/>
                <w:szCs w:val="20"/>
                <w:lang w:val="en-US"/>
              </w:rPr>
              <w:t>Estimated total % of new dwellings required to be social housing</w:t>
            </w:r>
          </w:p>
        </w:tc>
      </w:tr>
      <w:tr w:rsidR="00B764FC" w14:paraId="5CA053D7" w14:textId="77777777">
        <w:trPr>
          <w:trHeight w:val="340"/>
        </w:trPr>
        <w:tc>
          <w:tcPr>
            <w:tcW w:w="1736" w:type="dxa"/>
            <w:tcBorders>
              <w:left w:val="nil"/>
              <w:right w:val="nil"/>
            </w:tcBorders>
            <w:vAlign w:val="center"/>
          </w:tcPr>
          <w:p w14:paraId="000EC2E1" w14:textId="77777777" w:rsidR="00B764FC" w:rsidRDefault="00B764FC">
            <w:pPr>
              <w:rPr>
                <w:sz w:val="20"/>
                <w:szCs w:val="20"/>
                <w:lang w:val="en-US"/>
              </w:rPr>
            </w:pPr>
            <w:r>
              <w:rPr>
                <w:sz w:val="20"/>
                <w:szCs w:val="20"/>
                <w:lang w:val="en-US"/>
              </w:rPr>
              <w:t>Base year 2016</w:t>
            </w:r>
          </w:p>
        </w:tc>
        <w:tc>
          <w:tcPr>
            <w:tcW w:w="1736" w:type="dxa"/>
            <w:tcBorders>
              <w:left w:val="nil"/>
              <w:right w:val="nil"/>
            </w:tcBorders>
            <w:shd w:val="clear" w:color="auto" w:fill="FFFFFF"/>
            <w:vAlign w:val="center"/>
          </w:tcPr>
          <w:p w14:paraId="5156E9B6" w14:textId="77777777" w:rsidR="00B764FC" w:rsidRDefault="00B764FC">
            <w:pPr>
              <w:ind w:right="279"/>
              <w:jc w:val="center"/>
              <w:rPr>
                <w:snapToGrid w:val="0"/>
                <w:color w:val="000000"/>
                <w:sz w:val="20"/>
                <w:szCs w:val="20"/>
              </w:rPr>
            </w:pPr>
            <w:r>
              <w:rPr>
                <w:snapToGrid w:val="0"/>
                <w:color w:val="000000"/>
                <w:sz w:val="20"/>
                <w:szCs w:val="20"/>
              </w:rPr>
              <w:t>10,196</w:t>
            </w:r>
          </w:p>
        </w:tc>
        <w:tc>
          <w:tcPr>
            <w:tcW w:w="1736" w:type="dxa"/>
            <w:tcBorders>
              <w:left w:val="nil"/>
              <w:right w:val="nil"/>
            </w:tcBorders>
            <w:vAlign w:val="center"/>
          </w:tcPr>
          <w:p w14:paraId="0E50B8E6" w14:textId="77777777" w:rsidR="00B764FC" w:rsidRDefault="00B764FC">
            <w:pPr>
              <w:ind w:right="314"/>
              <w:jc w:val="center"/>
              <w:rPr>
                <w:snapToGrid w:val="0"/>
                <w:color w:val="000000"/>
                <w:sz w:val="20"/>
                <w:szCs w:val="20"/>
              </w:rPr>
            </w:pPr>
            <w:r>
              <w:rPr>
                <w:snapToGrid w:val="0"/>
                <w:color w:val="000000"/>
                <w:sz w:val="20"/>
                <w:szCs w:val="20"/>
              </w:rPr>
              <w:t>6,196</w:t>
            </w:r>
          </w:p>
        </w:tc>
        <w:tc>
          <w:tcPr>
            <w:tcW w:w="1736" w:type="dxa"/>
            <w:tcBorders>
              <w:left w:val="nil"/>
              <w:right w:val="nil"/>
            </w:tcBorders>
            <w:shd w:val="clear" w:color="auto" w:fill="FFFFFF"/>
            <w:vAlign w:val="center"/>
          </w:tcPr>
          <w:p w14:paraId="49D1FF22" w14:textId="77777777" w:rsidR="00B764FC" w:rsidRDefault="00B764FC">
            <w:pPr>
              <w:jc w:val="center"/>
              <w:rPr>
                <w:sz w:val="20"/>
                <w:szCs w:val="20"/>
                <w:lang w:val="en-US"/>
              </w:rPr>
            </w:pPr>
            <w:r>
              <w:rPr>
                <w:sz w:val="20"/>
                <w:szCs w:val="20"/>
                <w:lang w:val="en-US"/>
              </w:rPr>
              <w:t>706</w:t>
            </w:r>
          </w:p>
        </w:tc>
        <w:tc>
          <w:tcPr>
            <w:tcW w:w="1736" w:type="dxa"/>
            <w:tcBorders>
              <w:left w:val="nil"/>
              <w:right w:val="nil"/>
            </w:tcBorders>
            <w:vAlign w:val="center"/>
          </w:tcPr>
          <w:p w14:paraId="1835A24E" w14:textId="77777777" w:rsidR="00B764FC" w:rsidRDefault="00B764FC">
            <w:pPr>
              <w:jc w:val="center"/>
              <w:rPr>
                <w:b/>
                <w:bCs/>
                <w:sz w:val="20"/>
                <w:szCs w:val="20"/>
                <w:lang w:val="en-US"/>
              </w:rPr>
            </w:pPr>
            <w:r>
              <w:rPr>
                <w:b/>
                <w:bCs/>
                <w:sz w:val="20"/>
                <w:szCs w:val="20"/>
                <w:lang w:val="en-US"/>
              </w:rPr>
              <w:t>11%</w:t>
            </w:r>
          </w:p>
        </w:tc>
      </w:tr>
      <w:tr w:rsidR="00B764FC" w14:paraId="2096BEF8" w14:textId="77777777">
        <w:trPr>
          <w:trHeight w:val="340"/>
        </w:trPr>
        <w:tc>
          <w:tcPr>
            <w:tcW w:w="1736" w:type="dxa"/>
            <w:tcBorders>
              <w:left w:val="nil"/>
              <w:right w:val="nil"/>
            </w:tcBorders>
            <w:vAlign w:val="center"/>
          </w:tcPr>
          <w:p w14:paraId="0DBD4037" w14:textId="77777777" w:rsidR="00B764FC" w:rsidRDefault="00B764FC">
            <w:pPr>
              <w:rPr>
                <w:sz w:val="20"/>
                <w:szCs w:val="20"/>
                <w:lang w:val="en-US"/>
              </w:rPr>
            </w:pPr>
            <w:r>
              <w:rPr>
                <w:sz w:val="20"/>
                <w:szCs w:val="20"/>
                <w:lang w:val="en-US"/>
              </w:rPr>
              <w:t>2021</w:t>
            </w:r>
          </w:p>
        </w:tc>
        <w:tc>
          <w:tcPr>
            <w:tcW w:w="1736" w:type="dxa"/>
            <w:tcBorders>
              <w:left w:val="nil"/>
              <w:right w:val="nil"/>
            </w:tcBorders>
            <w:shd w:val="clear" w:color="auto" w:fill="FFFFFF"/>
            <w:vAlign w:val="center"/>
          </w:tcPr>
          <w:p w14:paraId="3055410B" w14:textId="77777777" w:rsidR="00B764FC" w:rsidRDefault="00B764FC">
            <w:pPr>
              <w:ind w:right="279"/>
              <w:jc w:val="center"/>
              <w:rPr>
                <w:snapToGrid w:val="0"/>
                <w:color w:val="000000"/>
                <w:sz w:val="20"/>
                <w:szCs w:val="20"/>
              </w:rPr>
            </w:pPr>
            <w:r>
              <w:rPr>
                <w:snapToGrid w:val="0"/>
                <w:color w:val="000000"/>
                <w:sz w:val="20"/>
                <w:szCs w:val="20"/>
              </w:rPr>
              <w:t>11,423</w:t>
            </w:r>
          </w:p>
        </w:tc>
        <w:tc>
          <w:tcPr>
            <w:tcW w:w="1736" w:type="dxa"/>
            <w:tcBorders>
              <w:left w:val="nil"/>
              <w:right w:val="nil"/>
            </w:tcBorders>
            <w:vAlign w:val="center"/>
          </w:tcPr>
          <w:p w14:paraId="51AD0C46" w14:textId="77777777" w:rsidR="00B764FC" w:rsidRDefault="00B764FC">
            <w:pPr>
              <w:ind w:right="314"/>
              <w:jc w:val="center"/>
              <w:rPr>
                <w:snapToGrid w:val="0"/>
                <w:color w:val="000000"/>
                <w:sz w:val="20"/>
                <w:szCs w:val="20"/>
              </w:rPr>
            </w:pPr>
            <w:r>
              <w:rPr>
                <w:snapToGrid w:val="0"/>
                <w:color w:val="000000"/>
                <w:sz w:val="20"/>
                <w:szCs w:val="20"/>
              </w:rPr>
              <w:t>7,823</w:t>
            </w:r>
          </w:p>
        </w:tc>
        <w:tc>
          <w:tcPr>
            <w:tcW w:w="1736" w:type="dxa"/>
            <w:tcBorders>
              <w:left w:val="nil"/>
              <w:right w:val="nil"/>
            </w:tcBorders>
            <w:shd w:val="clear" w:color="auto" w:fill="FFFFFF"/>
            <w:vAlign w:val="center"/>
          </w:tcPr>
          <w:p w14:paraId="76BCCBFE" w14:textId="77777777" w:rsidR="00B764FC" w:rsidRDefault="00B764FC">
            <w:pPr>
              <w:jc w:val="center"/>
              <w:rPr>
                <w:sz w:val="20"/>
                <w:szCs w:val="20"/>
                <w:lang w:val="en-US"/>
              </w:rPr>
            </w:pPr>
            <w:r>
              <w:rPr>
                <w:sz w:val="20"/>
                <w:szCs w:val="20"/>
                <w:lang w:val="en-US"/>
              </w:rPr>
              <w:t>706</w:t>
            </w:r>
          </w:p>
        </w:tc>
        <w:tc>
          <w:tcPr>
            <w:tcW w:w="1736" w:type="dxa"/>
            <w:tcBorders>
              <w:left w:val="nil"/>
              <w:right w:val="nil"/>
            </w:tcBorders>
            <w:vAlign w:val="center"/>
          </w:tcPr>
          <w:p w14:paraId="43EAC510" w14:textId="77777777" w:rsidR="00B764FC" w:rsidRDefault="00B764FC">
            <w:pPr>
              <w:jc w:val="center"/>
              <w:rPr>
                <w:b/>
                <w:bCs/>
                <w:sz w:val="20"/>
                <w:szCs w:val="20"/>
                <w:lang w:val="en-US"/>
              </w:rPr>
            </w:pPr>
            <w:r>
              <w:rPr>
                <w:b/>
                <w:bCs/>
                <w:sz w:val="20"/>
                <w:szCs w:val="20"/>
                <w:lang w:val="en-US"/>
              </w:rPr>
              <w:t>18%</w:t>
            </w:r>
          </w:p>
        </w:tc>
      </w:tr>
      <w:tr w:rsidR="00B764FC" w14:paraId="67B6F41A" w14:textId="77777777">
        <w:trPr>
          <w:trHeight w:val="340"/>
        </w:trPr>
        <w:tc>
          <w:tcPr>
            <w:tcW w:w="1736" w:type="dxa"/>
            <w:tcBorders>
              <w:left w:val="nil"/>
              <w:right w:val="nil"/>
            </w:tcBorders>
            <w:vAlign w:val="center"/>
          </w:tcPr>
          <w:p w14:paraId="522906DC" w14:textId="77777777" w:rsidR="00B764FC" w:rsidRDefault="00B764FC">
            <w:pPr>
              <w:rPr>
                <w:sz w:val="20"/>
                <w:szCs w:val="20"/>
                <w:lang w:val="en-US"/>
              </w:rPr>
            </w:pPr>
            <w:r>
              <w:rPr>
                <w:sz w:val="20"/>
                <w:szCs w:val="20"/>
                <w:lang w:val="en-US"/>
              </w:rPr>
              <w:t>2026</w:t>
            </w:r>
          </w:p>
        </w:tc>
        <w:tc>
          <w:tcPr>
            <w:tcW w:w="1736" w:type="dxa"/>
            <w:tcBorders>
              <w:left w:val="nil"/>
              <w:right w:val="nil"/>
            </w:tcBorders>
            <w:shd w:val="clear" w:color="auto" w:fill="FFFFFF"/>
            <w:vAlign w:val="center"/>
          </w:tcPr>
          <w:p w14:paraId="0AF90CCD" w14:textId="77777777" w:rsidR="00B764FC" w:rsidRDefault="00B764FC">
            <w:pPr>
              <w:ind w:right="279"/>
              <w:jc w:val="center"/>
              <w:rPr>
                <w:snapToGrid w:val="0"/>
                <w:color w:val="000000"/>
                <w:sz w:val="20"/>
                <w:szCs w:val="20"/>
              </w:rPr>
            </w:pPr>
            <w:r>
              <w:rPr>
                <w:snapToGrid w:val="0"/>
                <w:color w:val="000000"/>
                <w:sz w:val="20"/>
                <w:szCs w:val="20"/>
              </w:rPr>
              <w:t>12,710</w:t>
            </w:r>
          </w:p>
        </w:tc>
        <w:tc>
          <w:tcPr>
            <w:tcW w:w="1736" w:type="dxa"/>
            <w:tcBorders>
              <w:left w:val="nil"/>
              <w:right w:val="nil"/>
            </w:tcBorders>
            <w:vAlign w:val="center"/>
          </w:tcPr>
          <w:p w14:paraId="0F6CD703" w14:textId="77777777" w:rsidR="00B764FC" w:rsidRDefault="00B764FC">
            <w:pPr>
              <w:ind w:right="314"/>
              <w:jc w:val="center"/>
              <w:rPr>
                <w:snapToGrid w:val="0"/>
                <w:color w:val="000000"/>
                <w:sz w:val="20"/>
                <w:szCs w:val="20"/>
              </w:rPr>
            </w:pPr>
            <w:r>
              <w:rPr>
                <w:snapToGrid w:val="0"/>
                <w:color w:val="000000"/>
                <w:sz w:val="20"/>
                <w:szCs w:val="20"/>
              </w:rPr>
              <w:t>9,510</w:t>
            </w:r>
          </w:p>
        </w:tc>
        <w:tc>
          <w:tcPr>
            <w:tcW w:w="1736" w:type="dxa"/>
            <w:tcBorders>
              <w:left w:val="nil"/>
              <w:right w:val="nil"/>
            </w:tcBorders>
            <w:shd w:val="clear" w:color="auto" w:fill="FFFFFF"/>
            <w:vAlign w:val="center"/>
          </w:tcPr>
          <w:p w14:paraId="5D814CF4" w14:textId="77777777" w:rsidR="00B764FC" w:rsidRDefault="00B764FC">
            <w:pPr>
              <w:jc w:val="center"/>
              <w:rPr>
                <w:sz w:val="20"/>
                <w:szCs w:val="20"/>
                <w:lang w:val="en-US"/>
              </w:rPr>
            </w:pPr>
            <w:r>
              <w:rPr>
                <w:sz w:val="20"/>
                <w:szCs w:val="20"/>
                <w:lang w:val="en-US"/>
              </w:rPr>
              <w:t>706</w:t>
            </w:r>
          </w:p>
        </w:tc>
        <w:tc>
          <w:tcPr>
            <w:tcW w:w="1736" w:type="dxa"/>
            <w:tcBorders>
              <w:left w:val="nil"/>
              <w:right w:val="nil"/>
            </w:tcBorders>
            <w:vAlign w:val="center"/>
          </w:tcPr>
          <w:p w14:paraId="447215B1" w14:textId="77777777" w:rsidR="00B764FC" w:rsidRDefault="00B764FC">
            <w:pPr>
              <w:jc w:val="center"/>
              <w:rPr>
                <w:b/>
                <w:bCs/>
                <w:sz w:val="20"/>
                <w:szCs w:val="20"/>
                <w:lang w:val="en-US"/>
              </w:rPr>
            </w:pPr>
            <w:r>
              <w:rPr>
                <w:b/>
                <w:bCs/>
                <w:sz w:val="20"/>
                <w:szCs w:val="20"/>
                <w:lang w:val="en-US"/>
              </w:rPr>
              <w:t>18%</w:t>
            </w:r>
          </w:p>
        </w:tc>
      </w:tr>
      <w:tr w:rsidR="00B764FC" w14:paraId="0ECB83FB" w14:textId="77777777">
        <w:trPr>
          <w:trHeight w:val="340"/>
        </w:trPr>
        <w:tc>
          <w:tcPr>
            <w:tcW w:w="1736" w:type="dxa"/>
            <w:tcBorders>
              <w:left w:val="nil"/>
              <w:right w:val="nil"/>
            </w:tcBorders>
            <w:vAlign w:val="center"/>
          </w:tcPr>
          <w:p w14:paraId="70BF6A40" w14:textId="77777777" w:rsidR="00B764FC" w:rsidRDefault="00B764FC">
            <w:pPr>
              <w:rPr>
                <w:sz w:val="20"/>
                <w:szCs w:val="20"/>
                <w:lang w:val="en-US"/>
              </w:rPr>
            </w:pPr>
            <w:r>
              <w:rPr>
                <w:sz w:val="20"/>
                <w:szCs w:val="20"/>
                <w:lang w:val="en-US"/>
              </w:rPr>
              <w:t>2031</w:t>
            </w:r>
          </w:p>
        </w:tc>
        <w:tc>
          <w:tcPr>
            <w:tcW w:w="1736" w:type="dxa"/>
            <w:tcBorders>
              <w:left w:val="nil"/>
              <w:right w:val="nil"/>
            </w:tcBorders>
            <w:shd w:val="clear" w:color="auto" w:fill="FFFFFF"/>
            <w:vAlign w:val="center"/>
          </w:tcPr>
          <w:p w14:paraId="7A5C0D29" w14:textId="77777777" w:rsidR="00B764FC" w:rsidRDefault="00B764FC">
            <w:pPr>
              <w:ind w:right="279"/>
              <w:jc w:val="center"/>
              <w:rPr>
                <w:snapToGrid w:val="0"/>
                <w:color w:val="000000"/>
                <w:sz w:val="20"/>
                <w:szCs w:val="20"/>
              </w:rPr>
            </w:pPr>
            <w:r>
              <w:rPr>
                <w:snapToGrid w:val="0"/>
                <w:color w:val="000000"/>
                <w:sz w:val="20"/>
                <w:szCs w:val="20"/>
              </w:rPr>
              <w:t>14,078</w:t>
            </w:r>
          </w:p>
        </w:tc>
        <w:tc>
          <w:tcPr>
            <w:tcW w:w="1736" w:type="dxa"/>
            <w:tcBorders>
              <w:left w:val="nil"/>
              <w:right w:val="nil"/>
            </w:tcBorders>
            <w:vAlign w:val="center"/>
          </w:tcPr>
          <w:p w14:paraId="3871DE19" w14:textId="77777777" w:rsidR="00B764FC" w:rsidRDefault="00B764FC">
            <w:pPr>
              <w:ind w:right="314"/>
              <w:jc w:val="center"/>
              <w:rPr>
                <w:snapToGrid w:val="0"/>
                <w:color w:val="000000"/>
                <w:sz w:val="20"/>
                <w:szCs w:val="20"/>
              </w:rPr>
            </w:pPr>
            <w:r>
              <w:rPr>
                <w:snapToGrid w:val="0"/>
                <w:color w:val="000000"/>
                <w:sz w:val="20"/>
                <w:szCs w:val="20"/>
              </w:rPr>
              <w:t>11,278</w:t>
            </w:r>
          </w:p>
        </w:tc>
        <w:tc>
          <w:tcPr>
            <w:tcW w:w="1736" w:type="dxa"/>
            <w:tcBorders>
              <w:left w:val="nil"/>
              <w:right w:val="nil"/>
            </w:tcBorders>
            <w:shd w:val="clear" w:color="auto" w:fill="FFFFFF"/>
            <w:vAlign w:val="center"/>
          </w:tcPr>
          <w:p w14:paraId="036236D5" w14:textId="77777777" w:rsidR="00B764FC" w:rsidRDefault="00B764FC">
            <w:pPr>
              <w:jc w:val="center"/>
              <w:rPr>
                <w:sz w:val="20"/>
                <w:szCs w:val="20"/>
                <w:lang w:val="en-US"/>
              </w:rPr>
            </w:pPr>
            <w:r>
              <w:rPr>
                <w:sz w:val="20"/>
                <w:szCs w:val="20"/>
                <w:lang w:val="en-US"/>
              </w:rPr>
              <w:t>706</w:t>
            </w:r>
          </w:p>
        </w:tc>
        <w:tc>
          <w:tcPr>
            <w:tcW w:w="1736" w:type="dxa"/>
            <w:tcBorders>
              <w:left w:val="nil"/>
              <w:right w:val="nil"/>
            </w:tcBorders>
            <w:vAlign w:val="center"/>
          </w:tcPr>
          <w:p w14:paraId="69DE435F" w14:textId="77777777" w:rsidR="00B764FC" w:rsidRDefault="00B764FC">
            <w:pPr>
              <w:jc w:val="center"/>
              <w:rPr>
                <w:b/>
                <w:bCs/>
                <w:sz w:val="20"/>
                <w:szCs w:val="20"/>
                <w:lang w:val="en-US"/>
              </w:rPr>
            </w:pPr>
            <w:r>
              <w:rPr>
                <w:b/>
                <w:bCs/>
                <w:sz w:val="20"/>
                <w:szCs w:val="20"/>
                <w:lang w:val="en-US"/>
              </w:rPr>
              <w:t>18%</w:t>
            </w:r>
          </w:p>
        </w:tc>
      </w:tr>
      <w:tr w:rsidR="00B764FC" w14:paraId="20C684AF" w14:textId="77777777">
        <w:trPr>
          <w:trHeight w:val="340"/>
        </w:trPr>
        <w:tc>
          <w:tcPr>
            <w:tcW w:w="1736" w:type="dxa"/>
            <w:tcBorders>
              <w:left w:val="nil"/>
              <w:right w:val="nil"/>
            </w:tcBorders>
            <w:vAlign w:val="center"/>
          </w:tcPr>
          <w:p w14:paraId="30930050" w14:textId="77777777" w:rsidR="00B764FC" w:rsidRDefault="00B764FC">
            <w:pPr>
              <w:rPr>
                <w:sz w:val="20"/>
                <w:szCs w:val="20"/>
                <w:lang w:val="en-US"/>
              </w:rPr>
            </w:pPr>
            <w:r>
              <w:rPr>
                <w:sz w:val="20"/>
                <w:szCs w:val="20"/>
                <w:lang w:val="en-US"/>
              </w:rPr>
              <w:t>2036</w:t>
            </w:r>
          </w:p>
        </w:tc>
        <w:tc>
          <w:tcPr>
            <w:tcW w:w="1736" w:type="dxa"/>
            <w:tcBorders>
              <w:left w:val="nil"/>
              <w:right w:val="nil"/>
            </w:tcBorders>
            <w:shd w:val="clear" w:color="auto" w:fill="FFFFFF"/>
            <w:vAlign w:val="center"/>
          </w:tcPr>
          <w:p w14:paraId="127FC585" w14:textId="77777777" w:rsidR="00B764FC" w:rsidRDefault="00B764FC">
            <w:pPr>
              <w:ind w:right="279"/>
              <w:jc w:val="center"/>
              <w:rPr>
                <w:snapToGrid w:val="0"/>
                <w:color w:val="000000"/>
                <w:sz w:val="20"/>
                <w:szCs w:val="20"/>
              </w:rPr>
            </w:pPr>
            <w:r>
              <w:rPr>
                <w:snapToGrid w:val="0"/>
                <w:color w:val="000000"/>
                <w:sz w:val="20"/>
                <w:szCs w:val="20"/>
              </w:rPr>
              <w:t>15,407</w:t>
            </w:r>
          </w:p>
        </w:tc>
        <w:tc>
          <w:tcPr>
            <w:tcW w:w="1736" w:type="dxa"/>
            <w:tcBorders>
              <w:left w:val="nil"/>
              <w:right w:val="nil"/>
            </w:tcBorders>
            <w:vAlign w:val="center"/>
          </w:tcPr>
          <w:p w14:paraId="4AC94B98" w14:textId="77777777" w:rsidR="00B764FC" w:rsidRDefault="00B764FC">
            <w:pPr>
              <w:ind w:right="314"/>
              <w:jc w:val="center"/>
              <w:rPr>
                <w:snapToGrid w:val="0"/>
                <w:color w:val="000000"/>
                <w:sz w:val="20"/>
                <w:szCs w:val="20"/>
              </w:rPr>
            </w:pPr>
            <w:r>
              <w:rPr>
                <w:snapToGrid w:val="0"/>
                <w:color w:val="000000"/>
                <w:sz w:val="20"/>
                <w:szCs w:val="20"/>
              </w:rPr>
              <w:t>13,007</w:t>
            </w:r>
          </w:p>
        </w:tc>
        <w:tc>
          <w:tcPr>
            <w:tcW w:w="1736" w:type="dxa"/>
            <w:tcBorders>
              <w:left w:val="nil"/>
              <w:right w:val="nil"/>
            </w:tcBorders>
            <w:shd w:val="clear" w:color="auto" w:fill="FFFFFF"/>
            <w:vAlign w:val="center"/>
          </w:tcPr>
          <w:p w14:paraId="2765DC9D" w14:textId="77777777" w:rsidR="00B764FC" w:rsidRDefault="00B764FC">
            <w:pPr>
              <w:jc w:val="center"/>
              <w:rPr>
                <w:sz w:val="20"/>
                <w:szCs w:val="20"/>
                <w:lang w:val="en-US"/>
              </w:rPr>
            </w:pPr>
            <w:r>
              <w:rPr>
                <w:sz w:val="20"/>
                <w:szCs w:val="20"/>
                <w:lang w:val="en-US"/>
              </w:rPr>
              <w:t>706</w:t>
            </w:r>
          </w:p>
        </w:tc>
        <w:tc>
          <w:tcPr>
            <w:tcW w:w="1736" w:type="dxa"/>
            <w:tcBorders>
              <w:left w:val="nil"/>
              <w:right w:val="nil"/>
            </w:tcBorders>
            <w:vAlign w:val="center"/>
          </w:tcPr>
          <w:p w14:paraId="09CD3713" w14:textId="77777777" w:rsidR="00B764FC" w:rsidRDefault="00B764FC">
            <w:pPr>
              <w:jc w:val="center"/>
              <w:rPr>
                <w:b/>
                <w:bCs/>
                <w:sz w:val="20"/>
                <w:szCs w:val="20"/>
                <w:lang w:val="en-US"/>
              </w:rPr>
            </w:pPr>
            <w:r>
              <w:rPr>
                <w:b/>
                <w:bCs/>
                <w:sz w:val="20"/>
                <w:szCs w:val="20"/>
                <w:lang w:val="en-US"/>
              </w:rPr>
              <w:t>18%</w:t>
            </w:r>
          </w:p>
        </w:tc>
      </w:tr>
      <w:tr w:rsidR="00B764FC" w14:paraId="02FB5B5D" w14:textId="77777777">
        <w:trPr>
          <w:trHeight w:val="340"/>
        </w:trPr>
        <w:tc>
          <w:tcPr>
            <w:tcW w:w="1736" w:type="dxa"/>
            <w:tcBorders>
              <w:left w:val="nil"/>
              <w:right w:val="nil"/>
            </w:tcBorders>
            <w:vAlign w:val="center"/>
          </w:tcPr>
          <w:p w14:paraId="7ADCEA90" w14:textId="77777777" w:rsidR="00B764FC" w:rsidRDefault="00B764FC">
            <w:pPr>
              <w:rPr>
                <w:sz w:val="20"/>
                <w:szCs w:val="20"/>
                <w:lang w:val="en-US"/>
              </w:rPr>
            </w:pPr>
            <w:r>
              <w:rPr>
                <w:sz w:val="20"/>
                <w:szCs w:val="20"/>
                <w:lang w:val="en-US"/>
              </w:rPr>
              <w:t>2041</w:t>
            </w:r>
          </w:p>
        </w:tc>
        <w:tc>
          <w:tcPr>
            <w:tcW w:w="1736" w:type="dxa"/>
            <w:tcBorders>
              <w:left w:val="nil"/>
              <w:right w:val="nil"/>
            </w:tcBorders>
            <w:shd w:val="clear" w:color="auto" w:fill="FFFFFF"/>
            <w:vAlign w:val="center"/>
          </w:tcPr>
          <w:p w14:paraId="081F90F9" w14:textId="77777777" w:rsidR="00B764FC" w:rsidRDefault="00B764FC">
            <w:pPr>
              <w:ind w:right="279"/>
              <w:jc w:val="center"/>
              <w:rPr>
                <w:snapToGrid w:val="0"/>
                <w:color w:val="000000"/>
                <w:sz w:val="20"/>
                <w:szCs w:val="20"/>
              </w:rPr>
            </w:pPr>
            <w:r>
              <w:rPr>
                <w:snapToGrid w:val="0"/>
                <w:color w:val="000000"/>
                <w:sz w:val="20"/>
                <w:szCs w:val="20"/>
              </w:rPr>
              <w:t>16,821</w:t>
            </w:r>
          </w:p>
        </w:tc>
        <w:tc>
          <w:tcPr>
            <w:tcW w:w="1736" w:type="dxa"/>
            <w:tcBorders>
              <w:left w:val="nil"/>
              <w:right w:val="nil"/>
            </w:tcBorders>
            <w:vAlign w:val="center"/>
          </w:tcPr>
          <w:p w14:paraId="3E096145" w14:textId="77777777" w:rsidR="00B764FC" w:rsidRDefault="00B764FC">
            <w:pPr>
              <w:ind w:right="314"/>
              <w:jc w:val="center"/>
              <w:rPr>
                <w:snapToGrid w:val="0"/>
                <w:color w:val="000000"/>
                <w:sz w:val="20"/>
                <w:szCs w:val="20"/>
              </w:rPr>
            </w:pPr>
            <w:r>
              <w:rPr>
                <w:snapToGrid w:val="0"/>
                <w:color w:val="000000"/>
                <w:sz w:val="20"/>
                <w:szCs w:val="20"/>
              </w:rPr>
              <w:t>14,821</w:t>
            </w:r>
          </w:p>
        </w:tc>
        <w:tc>
          <w:tcPr>
            <w:tcW w:w="1736" w:type="dxa"/>
            <w:tcBorders>
              <w:left w:val="nil"/>
              <w:right w:val="nil"/>
            </w:tcBorders>
            <w:shd w:val="clear" w:color="auto" w:fill="FFFFFF"/>
            <w:vAlign w:val="center"/>
          </w:tcPr>
          <w:p w14:paraId="08E5727B" w14:textId="77777777" w:rsidR="00B764FC" w:rsidRDefault="00B764FC">
            <w:pPr>
              <w:jc w:val="center"/>
              <w:rPr>
                <w:sz w:val="20"/>
                <w:szCs w:val="20"/>
                <w:lang w:val="en-US"/>
              </w:rPr>
            </w:pPr>
            <w:r>
              <w:rPr>
                <w:sz w:val="20"/>
                <w:szCs w:val="20"/>
                <w:lang w:val="en-US"/>
              </w:rPr>
              <w:t>706</w:t>
            </w:r>
          </w:p>
        </w:tc>
        <w:tc>
          <w:tcPr>
            <w:tcW w:w="1736" w:type="dxa"/>
            <w:tcBorders>
              <w:left w:val="nil"/>
              <w:right w:val="nil"/>
            </w:tcBorders>
            <w:vAlign w:val="center"/>
          </w:tcPr>
          <w:p w14:paraId="65658710" w14:textId="77777777" w:rsidR="00B764FC" w:rsidRDefault="00B764FC">
            <w:pPr>
              <w:jc w:val="center"/>
              <w:rPr>
                <w:b/>
                <w:bCs/>
                <w:sz w:val="20"/>
                <w:szCs w:val="20"/>
                <w:lang w:val="en-US"/>
              </w:rPr>
            </w:pPr>
            <w:r>
              <w:rPr>
                <w:b/>
                <w:bCs/>
                <w:sz w:val="20"/>
                <w:szCs w:val="20"/>
                <w:lang w:val="en-US"/>
              </w:rPr>
              <w:t>18%</w:t>
            </w:r>
          </w:p>
        </w:tc>
      </w:tr>
    </w:tbl>
    <w:p w14:paraId="7FECBD7F" w14:textId="77777777" w:rsidR="00B764FC" w:rsidRDefault="00B764FC">
      <w:pPr>
        <w:rPr>
          <w:lang w:val="en-US"/>
        </w:rPr>
      </w:pPr>
    </w:p>
    <w:p w14:paraId="382EB29E" w14:textId="77777777" w:rsidR="00B764FC" w:rsidRDefault="00B764FC">
      <w:r>
        <w:br w:type="page"/>
      </w:r>
    </w:p>
    <w:p w14:paraId="72871D27" w14:textId="77777777" w:rsidR="00B764FC" w:rsidRDefault="00B764FC">
      <w:pPr>
        <w:pStyle w:val="Heading2"/>
        <w:ind w:left="720" w:hanging="720"/>
      </w:pPr>
      <w:bookmarkStart w:id="138" w:name="_Toc17477441"/>
      <w:bookmarkStart w:id="139" w:name="_Toc22120189"/>
      <w:r>
        <w:lastRenderedPageBreak/>
        <w:t>9.4</w:t>
      </w:r>
      <w:r>
        <w:tab/>
        <w:t>What are the key challenges</w:t>
      </w:r>
      <w:bookmarkEnd w:id="138"/>
      <w:r>
        <w:t xml:space="preserve"> related to current and future social housing?</w:t>
      </w:r>
      <w:bookmarkEnd w:id="139"/>
    </w:p>
    <w:p w14:paraId="4476657E" w14:textId="77777777" w:rsidR="00B764FC" w:rsidRDefault="00B764FC">
      <w:pPr>
        <w:spacing w:before="240" w:after="240" w:line="276" w:lineRule="auto"/>
        <w:jc w:val="both"/>
        <w:rPr>
          <w:sz w:val="22"/>
          <w:szCs w:val="22"/>
        </w:rPr>
      </w:pPr>
      <w:r>
        <w:rPr>
          <w:sz w:val="22"/>
          <w:szCs w:val="22"/>
        </w:rPr>
        <w:t>There are several key issues associated with the current supply of social housing in Geelong that present specific challenges for the future provision of social housing, these are summarised below:</w:t>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22"/>
        <w:gridCol w:w="7082"/>
      </w:tblGrid>
      <w:tr w:rsidR="00B764FC" w14:paraId="6FCE6963" w14:textId="77777777" w:rsidTr="00291EB3">
        <w:trPr>
          <w:trHeight w:val="340"/>
          <w:tblHeader/>
        </w:trPr>
        <w:tc>
          <w:tcPr>
            <w:tcW w:w="2122" w:type="dxa"/>
            <w:tcBorders>
              <w:left w:val="nil"/>
              <w:right w:val="nil"/>
            </w:tcBorders>
            <w:shd w:val="clear" w:color="auto" w:fill="002060"/>
            <w:vAlign w:val="center"/>
          </w:tcPr>
          <w:p w14:paraId="0D206439" w14:textId="77777777" w:rsidR="00B764FC" w:rsidRDefault="00B764FC">
            <w:pPr>
              <w:rPr>
                <w:b/>
                <w:bCs/>
                <w:color w:val="FFFFFF"/>
                <w:sz w:val="20"/>
                <w:szCs w:val="20"/>
              </w:rPr>
            </w:pPr>
            <w:r>
              <w:rPr>
                <w:b/>
                <w:bCs/>
                <w:color w:val="FFFFFF"/>
                <w:sz w:val="20"/>
                <w:szCs w:val="20"/>
              </w:rPr>
              <w:t>Key Challenge</w:t>
            </w:r>
          </w:p>
        </w:tc>
        <w:tc>
          <w:tcPr>
            <w:tcW w:w="7082" w:type="dxa"/>
            <w:tcBorders>
              <w:left w:val="nil"/>
              <w:right w:val="nil"/>
            </w:tcBorders>
            <w:shd w:val="clear" w:color="auto" w:fill="002060"/>
            <w:vAlign w:val="center"/>
          </w:tcPr>
          <w:p w14:paraId="2EB1A331" w14:textId="77777777" w:rsidR="00B764FC" w:rsidRDefault="00B764FC">
            <w:pPr>
              <w:rPr>
                <w:b/>
                <w:bCs/>
                <w:color w:val="FFFFFF"/>
                <w:sz w:val="20"/>
                <w:szCs w:val="20"/>
              </w:rPr>
            </w:pPr>
            <w:r>
              <w:rPr>
                <w:b/>
                <w:bCs/>
                <w:color w:val="FFFFFF"/>
                <w:sz w:val="20"/>
                <w:szCs w:val="20"/>
              </w:rPr>
              <w:t xml:space="preserve">Implications for the City of Greater Geelong Social Housing Plan </w:t>
            </w:r>
          </w:p>
        </w:tc>
      </w:tr>
      <w:tr w:rsidR="00B764FC" w14:paraId="3CC62017" w14:textId="77777777">
        <w:tc>
          <w:tcPr>
            <w:tcW w:w="2122" w:type="dxa"/>
            <w:tcBorders>
              <w:left w:val="nil"/>
              <w:right w:val="nil"/>
            </w:tcBorders>
            <w:vAlign w:val="center"/>
          </w:tcPr>
          <w:p w14:paraId="5CADEBF5" w14:textId="77777777" w:rsidR="00B764FC" w:rsidRDefault="00B764FC">
            <w:pPr>
              <w:rPr>
                <w:b/>
                <w:bCs/>
                <w:sz w:val="20"/>
                <w:szCs w:val="20"/>
              </w:rPr>
            </w:pPr>
            <w:r>
              <w:rPr>
                <w:b/>
                <w:bCs/>
                <w:sz w:val="20"/>
                <w:szCs w:val="20"/>
              </w:rPr>
              <w:t>Location of social housing stock</w:t>
            </w:r>
          </w:p>
          <w:p w14:paraId="1741EC8D" w14:textId="77777777" w:rsidR="00B764FC" w:rsidRDefault="00B764FC">
            <w:pPr>
              <w:rPr>
                <w:sz w:val="20"/>
                <w:szCs w:val="20"/>
              </w:rPr>
            </w:pPr>
          </w:p>
        </w:tc>
        <w:tc>
          <w:tcPr>
            <w:tcW w:w="7082" w:type="dxa"/>
            <w:tcBorders>
              <w:left w:val="nil"/>
              <w:right w:val="nil"/>
            </w:tcBorders>
          </w:tcPr>
          <w:p w14:paraId="571C88D4" w14:textId="77777777" w:rsidR="00B764FC" w:rsidRDefault="00B764FC">
            <w:pPr>
              <w:jc w:val="both"/>
              <w:rPr>
                <w:sz w:val="20"/>
                <w:szCs w:val="20"/>
              </w:rPr>
            </w:pPr>
            <w:r>
              <w:rPr>
                <w:sz w:val="20"/>
                <w:szCs w:val="20"/>
              </w:rPr>
              <w:t xml:space="preserve">The current concentration of social housing (particularly in two areas) creates large areas of disadvantage, with uneven access to services and opportunities for residents.  </w:t>
            </w:r>
          </w:p>
          <w:p w14:paraId="7CBA2246" w14:textId="77777777" w:rsidR="00B764FC" w:rsidRDefault="00B764FC">
            <w:pPr>
              <w:jc w:val="both"/>
              <w:rPr>
                <w:sz w:val="20"/>
                <w:szCs w:val="20"/>
              </w:rPr>
            </w:pPr>
          </w:p>
          <w:p w14:paraId="0BC1E1E7" w14:textId="77777777" w:rsidR="00B764FC" w:rsidRDefault="00B764FC">
            <w:pPr>
              <w:jc w:val="both"/>
              <w:rPr>
                <w:sz w:val="20"/>
                <w:szCs w:val="20"/>
              </w:rPr>
            </w:pPr>
            <w:r>
              <w:rPr>
                <w:sz w:val="20"/>
                <w:szCs w:val="20"/>
              </w:rPr>
              <w:t xml:space="preserve">The challenge, over time, is to achieve </w:t>
            </w:r>
            <w:r>
              <w:rPr>
                <w:b/>
                <w:bCs/>
                <w:sz w:val="20"/>
                <w:szCs w:val="20"/>
              </w:rPr>
              <w:t>a more even distribution of social housing</w:t>
            </w:r>
            <w:r>
              <w:rPr>
                <w:sz w:val="20"/>
                <w:szCs w:val="20"/>
              </w:rPr>
              <w:t xml:space="preserve"> across the City of Greater Geelong.  The concentration is not limited to particular former public housing estates, rather, it is spread across whole suburbs which then experience disadvantage.</w:t>
            </w:r>
          </w:p>
          <w:p w14:paraId="280401CF" w14:textId="77777777" w:rsidR="00B764FC" w:rsidRDefault="00B764FC">
            <w:pPr>
              <w:jc w:val="both"/>
              <w:rPr>
                <w:sz w:val="20"/>
                <w:szCs w:val="20"/>
              </w:rPr>
            </w:pPr>
          </w:p>
        </w:tc>
      </w:tr>
      <w:tr w:rsidR="00B764FC" w14:paraId="115523B1" w14:textId="77777777" w:rsidTr="000B5E05">
        <w:tc>
          <w:tcPr>
            <w:tcW w:w="2122" w:type="dxa"/>
            <w:tcBorders>
              <w:left w:val="nil"/>
              <w:right w:val="nil"/>
            </w:tcBorders>
            <w:shd w:val="clear" w:color="auto" w:fill="F2F2F2" w:themeFill="background1" w:themeFillShade="F2"/>
            <w:vAlign w:val="center"/>
          </w:tcPr>
          <w:p w14:paraId="17C9ED8C" w14:textId="77777777" w:rsidR="00B764FC" w:rsidRDefault="00B764FC">
            <w:pPr>
              <w:rPr>
                <w:b/>
                <w:bCs/>
                <w:sz w:val="20"/>
                <w:szCs w:val="20"/>
              </w:rPr>
            </w:pPr>
            <w:r>
              <w:rPr>
                <w:b/>
                <w:bCs/>
                <w:sz w:val="20"/>
                <w:szCs w:val="20"/>
              </w:rPr>
              <w:t>Utilisation of social housing properties</w:t>
            </w:r>
          </w:p>
          <w:p w14:paraId="38AAC982" w14:textId="77777777" w:rsidR="00B764FC" w:rsidRDefault="00B764FC">
            <w:pPr>
              <w:rPr>
                <w:sz w:val="20"/>
                <w:szCs w:val="20"/>
              </w:rPr>
            </w:pPr>
          </w:p>
        </w:tc>
        <w:tc>
          <w:tcPr>
            <w:tcW w:w="7082" w:type="dxa"/>
            <w:tcBorders>
              <w:left w:val="nil"/>
              <w:right w:val="nil"/>
            </w:tcBorders>
            <w:shd w:val="clear" w:color="auto" w:fill="F2F2F2" w:themeFill="background1" w:themeFillShade="F2"/>
          </w:tcPr>
          <w:p w14:paraId="0B015C2B" w14:textId="77777777" w:rsidR="00B764FC" w:rsidRDefault="00B764FC">
            <w:pPr>
              <w:pStyle w:val="ListParagraph"/>
              <w:spacing w:before="120"/>
              <w:ind w:left="0"/>
              <w:jc w:val="both"/>
              <w:rPr>
                <w:sz w:val="20"/>
                <w:szCs w:val="20"/>
              </w:rPr>
            </w:pPr>
            <w:r>
              <w:rPr>
                <w:sz w:val="20"/>
                <w:szCs w:val="20"/>
              </w:rPr>
              <w:t xml:space="preserve">There is significant </w:t>
            </w:r>
            <w:r>
              <w:rPr>
                <w:b/>
                <w:bCs/>
                <w:sz w:val="20"/>
                <w:szCs w:val="20"/>
              </w:rPr>
              <w:t>underutilisation of social housing</w:t>
            </w:r>
            <w:r>
              <w:rPr>
                <w:sz w:val="20"/>
                <w:szCs w:val="20"/>
              </w:rPr>
              <w:t xml:space="preserve"> in Geelong.  This includes:</w:t>
            </w:r>
          </w:p>
          <w:p w14:paraId="4E398C3A" w14:textId="77777777" w:rsidR="00B764FC" w:rsidRDefault="00B764FC">
            <w:pPr>
              <w:pStyle w:val="ListParagraph"/>
              <w:spacing w:before="120"/>
              <w:ind w:left="0"/>
              <w:jc w:val="both"/>
              <w:rPr>
                <w:sz w:val="20"/>
                <w:szCs w:val="20"/>
              </w:rPr>
            </w:pPr>
          </w:p>
          <w:p w14:paraId="10C5662A" w14:textId="257C5A03" w:rsidR="00B764FC" w:rsidRDefault="00B764FC" w:rsidP="00077040">
            <w:pPr>
              <w:pStyle w:val="ListParagraph"/>
              <w:numPr>
                <w:ilvl w:val="0"/>
                <w:numId w:val="38"/>
              </w:numPr>
              <w:tabs>
                <w:tab w:val="clear" w:pos="360"/>
                <w:tab w:val="num" w:pos="1418"/>
              </w:tabs>
              <w:spacing w:before="60"/>
              <w:ind w:left="567" w:hanging="567"/>
              <w:jc w:val="both"/>
              <w:rPr>
                <w:sz w:val="20"/>
                <w:szCs w:val="20"/>
              </w:rPr>
            </w:pPr>
            <w:r>
              <w:rPr>
                <w:sz w:val="20"/>
                <w:szCs w:val="20"/>
              </w:rPr>
              <w:t>underutilising the land on which social housing is constructed - old social housing stock is built on blocks which could potentially accommodate 2 or 3 dwellings</w:t>
            </w:r>
          </w:p>
          <w:p w14:paraId="7FED0B9B" w14:textId="77777777" w:rsidR="00B764FC" w:rsidRDefault="00B764FC" w:rsidP="00077040">
            <w:pPr>
              <w:pStyle w:val="ListParagraph"/>
              <w:numPr>
                <w:ilvl w:val="0"/>
                <w:numId w:val="38"/>
              </w:numPr>
              <w:tabs>
                <w:tab w:val="clear" w:pos="360"/>
                <w:tab w:val="num" w:pos="1418"/>
              </w:tabs>
              <w:spacing w:before="60"/>
              <w:ind w:left="567" w:hanging="567"/>
              <w:jc w:val="both"/>
              <w:rPr>
                <w:sz w:val="20"/>
                <w:szCs w:val="20"/>
              </w:rPr>
            </w:pPr>
            <w:r>
              <w:rPr>
                <w:sz w:val="20"/>
                <w:szCs w:val="20"/>
              </w:rPr>
              <w:t>underutilising the number of bedrooms in each social housing dwelling (e.g. where one person lives alone in a 3-bedroom house)</w:t>
            </w:r>
          </w:p>
          <w:p w14:paraId="43E33BE9" w14:textId="77777777" w:rsidR="00B764FC" w:rsidRDefault="00B764FC" w:rsidP="00077040">
            <w:pPr>
              <w:pStyle w:val="ListParagraph"/>
              <w:numPr>
                <w:ilvl w:val="0"/>
                <w:numId w:val="38"/>
              </w:numPr>
              <w:tabs>
                <w:tab w:val="clear" w:pos="360"/>
                <w:tab w:val="num" w:pos="1418"/>
              </w:tabs>
              <w:spacing w:before="60"/>
              <w:ind w:left="567" w:hanging="567"/>
              <w:jc w:val="both"/>
              <w:rPr>
                <w:sz w:val="20"/>
                <w:szCs w:val="20"/>
              </w:rPr>
            </w:pPr>
            <w:r>
              <w:rPr>
                <w:sz w:val="20"/>
                <w:szCs w:val="20"/>
              </w:rPr>
              <w:t>vacant stock, indicated by the difference in the stock numbers provided by DHHS, and the number of households renting social housing, recorded in the ABS Census</w:t>
            </w:r>
          </w:p>
          <w:p w14:paraId="7F7E2432" w14:textId="77777777" w:rsidR="00B764FC" w:rsidRDefault="00B764FC">
            <w:pPr>
              <w:pStyle w:val="ListParagraph"/>
              <w:spacing w:before="120"/>
              <w:ind w:left="0"/>
              <w:jc w:val="both"/>
              <w:rPr>
                <w:b/>
                <w:bCs/>
                <w:sz w:val="20"/>
                <w:szCs w:val="20"/>
              </w:rPr>
            </w:pPr>
            <w:r>
              <w:rPr>
                <w:sz w:val="20"/>
                <w:szCs w:val="20"/>
              </w:rPr>
              <w:t xml:space="preserve">The challenge is to </w:t>
            </w:r>
            <w:r>
              <w:rPr>
                <w:b/>
                <w:bCs/>
                <w:sz w:val="20"/>
                <w:szCs w:val="20"/>
              </w:rPr>
              <w:t xml:space="preserve">redevelop existing social housing to better utilise the available land, and to better match tenants with housing types. </w:t>
            </w:r>
          </w:p>
          <w:p w14:paraId="253F881A" w14:textId="77777777" w:rsidR="00B764FC" w:rsidRDefault="00B764FC">
            <w:pPr>
              <w:jc w:val="both"/>
              <w:rPr>
                <w:sz w:val="20"/>
                <w:szCs w:val="20"/>
              </w:rPr>
            </w:pPr>
          </w:p>
        </w:tc>
      </w:tr>
      <w:tr w:rsidR="00B764FC" w14:paraId="62B28480" w14:textId="77777777">
        <w:tc>
          <w:tcPr>
            <w:tcW w:w="2122" w:type="dxa"/>
            <w:tcBorders>
              <w:left w:val="nil"/>
              <w:right w:val="nil"/>
            </w:tcBorders>
            <w:vAlign w:val="center"/>
          </w:tcPr>
          <w:p w14:paraId="0A46F367" w14:textId="77777777" w:rsidR="00B764FC" w:rsidRDefault="00B764FC">
            <w:pPr>
              <w:pStyle w:val="ListParagraph"/>
              <w:spacing w:before="240"/>
              <w:ind w:left="0"/>
              <w:rPr>
                <w:b/>
                <w:bCs/>
                <w:sz w:val="20"/>
                <w:szCs w:val="20"/>
              </w:rPr>
            </w:pPr>
            <w:r>
              <w:rPr>
                <w:b/>
                <w:bCs/>
                <w:sz w:val="20"/>
                <w:szCs w:val="20"/>
              </w:rPr>
              <w:t>Neighbourhood Revitalisation</w:t>
            </w:r>
          </w:p>
          <w:p w14:paraId="5EF46F70" w14:textId="77777777" w:rsidR="00B764FC" w:rsidRDefault="00B764FC">
            <w:pPr>
              <w:rPr>
                <w:sz w:val="20"/>
                <w:szCs w:val="20"/>
              </w:rPr>
            </w:pPr>
          </w:p>
        </w:tc>
        <w:tc>
          <w:tcPr>
            <w:tcW w:w="7082" w:type="dxa"/>
            <w:tcBorders>
              <w:left w:val="nil"/>
              <w:right w:val="nil"/>
            </w:tcBorders>
          </w:tcPr>
          <w:p w14:paraId="6263FE4B" w14:textId="77777777" w:rsidR="00B764FC" w:rsidRDefault="00B764FC">
            <w:pPr>
              <w:pStyle w:val="ListParagraph"/>
              <w:spacing w:before="120"/>
              <w:ind w:left="0"/>
              <w:jc w:val="both"/>
              <w:rPr>
                <w:sz w:val="20"/>
                <w:szCs w:val="20"/>
              </w:rPr>
            </w:pPr>
            <w:r>
              <w:rPr>
                <w:sz w:val="20"/>
                <w:szCs w:val="20"/>
              </w:rPr>
              <w:t xml:space="preserve">In addition to redeveloping social housing, and changing the distribution, it is important to address the needs of particular neighbourhoods with high concentrations of social housing, in order to improve the quality of life.  </w:t>
            </w:r>
          </w:p>
          <w:p w14:paraId="1B7C6414" w14:textId="77777777" w:rsidR="00B764FC" w:rsidRDefault="00B764FC">
            <w:pPr>
              <w:pStyle w:val="ListParagraph"/>
              <w:spacing w:before="120"/>
              <w:ind w:left="0"/>
              <w:jc w:val="both"/>
              <w:rPr>
                <w:sz w:val="20"/>
                <w:szCs w:val="20"/>
              </w:rPr>
            </w:pPr>
            <w:r>
              <w:rPr>
                <w:sz w:val="20"/>
                <w:szCs w:val="20"/>
              </w:rPr>
              <w:t xml:space="preserve">The challenge is to implement </w:t>
            </w:r>
            <w:r>
              <w:rPr>
                <w:b/>
                <w:bCs/>
                <w:sz w:val="20"/>
                <w:szCs w:val="20"/>
              </w:rPr>
              <w:t>an effective neighbourhood renewal strategy</w:t>
            </w:r>
            <w:r>
              <w:rPr>
                <w:sz w:val="20"/>
                <w:szCs w:val="20"/>
              </w:rPr>
              <w:t>, which not only includes redevelopment of social housing, but also the development of community facilities and amenities.</w:t>
            </w:r>
          </w:p>
          <w:p w14:paraId="4F9B8116" w14:textId="2E95FD5B" w:rsidR="00B764FC" w:rsidRDefault="00B764FC">
            <w:pPr>
              <w:pStyle w:val="ListParagraph"/>
              <w:spacing w:before="120"/>
              <w:ind w:left="0"/>
              <w:jc w:val="both"/>
              <w:rPr>
                <w:sz w:val="20"/>
                <w:szCs w:val="20"/>
              </w:rPr>
            </w:pPr>
            <w:r>
              <w:rPr>
                <w:sz w:val="20"/>
                <w:szCs w:val="20"/>
              </w:rPr>
              <w:t xml:space="preserve">Some broad hectare developments (such as Lovely Banks) are located adjacent to areas with high current levels of social housing.  This may provide opportunities for re-locating social housing from older areas to newer areas over time. </w:t>
            </w:r>
          </w:p>
          <w:p w14:paraId="1BB3FB0B" w14:textId="77777777" w:rsidR="00B764FC" w:rsidRDefault="00B764FC">
            <w:pPr>
              <w:jc w:val="both"/>
              <w:rPr>
                <w:sz w:val="20"/>
                <w:szCs w:val="20"/>
              </w:rPr>
            </w:pPr>
          </w:p>
        </w:tc>
      </w:tr>
      <w:tr w:rsidR="00B764FC" w14:paraId="2140399D" w14:textId="77777777" w:rsidTr="000B5E05">
        <w:tc>
          <w:tcPr>
            <w:tcW w:w="2122" w:type="dxa"/>
            <w:tcBorders>
              <w:left w:val="nil"/>
              <w:right w:val="nil"/>
            </w:tcBorders>
            <w:shd w:val="clear" w:color="auto" w:fill="F2F2F2" w:themeFill="background1" w:themeFillShade="F2"/>
            <w:vAlign w:val="center"/>
          </w:tcPr>
          <w:p w14:paraId="7592027B" w14:textId="77777777" w:rsidR="00B764FC" w:rsidRDefault="00B764FC">
            <w:pPr>
              <w:pStyle w:val="ListParagraph"/>
              <w:ind w:left="0"/>
              <w:rPr>
                <w:b/>
                <w:bCs/>
                <w:sz w:val="20"/>
                <w:szCs w:val="20"/>
              </w:rPr>
            </w:pPr>
            <w:r>
              <w:rPr>
                <w:b/>
                <w:bCs/>
                <w:sz w:val="20"/>
                <w:szCs w:val="20"/>
              </w:rPr>
              <w:t>Refurbishment, and renewal</w:t>
            </w:r>
          </w:p>
          <w:p w14:paraId="7D761CAB" w14:textId="77777777" w:rsidR="00B764FC" w:rsidRDefault="00B764FC">
            <w:pPr>
              <w:rPr>
                <w:sz w:val="20"/>
                <w:szCs w:val="20"/>
              </w:rPr>
            </w:pPr>
          </w:p>
        </w:tc>
        <w:tc>
          <w:tcPr>
            <w:tcW w:w="7082" w:type="dxa"/>
            <w:tcBorders>
              <w:left w:val="nil"/>
              <w:right w:val="nil"/>
            </w:tcBorders>
            <w:shd w:val="clear" w:color="auto" w:fill="F2F2F2" w:themeFill="background1" w:themeFillShade="F2"/>
          </w:tcPr>
          <w:p w14:paraId="3736D338" w14:textId="77777777" w:rsidR="00B764FC" w:rsidRDefault="00B764FC">
            <w:pPr>
              <w:pStyle w:val="ListParagraph"/>
              <w:spacing w:before="120"/>
              <w:ind w:left="0"/>
              <w:jc w:val="both"/>
              <w:rPr>
                <w:sz w:val="20"/>
                <w:szCs w:val="20"/>
              </w:rPr>
            </w:pPr>
            <w:r>
              <w:rPr>
                <w:sz w:val="20"/>
                <w:szCs w:val="20"/>
              </w:rPr>
              <w:t xml:space="preserve">Existing stock will always require maintenance, however the age of some social housing stock is such that it will be more economic to demolish and rebuild.  </w:t>
            </w:r>
          </w:p>
          <w:p w14:paraId="4D51D200" w14:textId="77777777" w:rsidR="00B764FC" w:rsidRDefault="00B764FC">
            <w:pPr>
              <w:pStyle w:val="ListParagraph"/>
              <w:spacing w:before="120"/>
              <w:ind w:left="0"/>
              <w:jc w:val="both"/>
              <w:rPr>
                <w:sz w:val="20"/>
                <w:szCs w:val="20"/>
              </w:rPr>
            </w:pPr>
          </w:p>
          <w:p w14:paraId="56F22EDA" w14:textId="77777777" w:rsidR="00B764FC" w:rsidRDefault="00B764FC">
            <w:pPr>
              <w:pStyle w:val="ListParagraph"/>
              <w:spacing w:before="120"/>
              <w:ind w:left="0"/>
              <w:jc w:val="both"/>
              <w:rPr>
                <w:sz w:val="20"/>
                <w:szCs w:val="20"/>
              </w:rPr>
            </w:pPr>
            <w:r>
              <w:rPr>
                <w:sz w:val="20"/>
                <w:szCs w:val="20"/>
              </w:rPr>
              <w:t xml:space="preserve">It is likely that </w:t>
            </w:r>
            <w:r>
              <w:rPr>
                <w:b/>
                <w:bCs/>
                <w:sz w:val="20"/>
                <w:szCs w:val="20"/>
              </w:rPr>
              <w:t>half the existing public housing stock will need to be replaced within the 25 year planning framework</w:t>
            </w:r>
            <w:r>
              <w:rPr>
                <w:sz w:val="20"/>
                <w:szCs w:val="20"/>
              </w:rPr>
              <w:t>.</w:t>
            </w:r>
          </w:p>
          <w:p w14:paraId="23FC4DC5" w14:textId="77777777" w:rsidR="00B764FC" w:rsidRDefault="00B764FC">
            <w:pPr>
              <w:jc w:val="both"/>
              <w:rPr>
                <w:sz w:val="20"/>
                <w:szCs w:val="20"/>
              </w:rPr>
            </w:pPr>
          </w:p>
        </w:tc>
      </w:tr>
      <w:tr w:rsidR="00B764FC" w14:paraId="4F9DF810" w14:textId="77777777">
        <w:tc>
          <w:tcPr>
            <w:tcW w:w="2122" w:type="dxa"/>
            <w:tcBorders>
              <w:left w:val="nil"/>
              <w:right w:val="nil"/>
            </w:tcBorders>
            <w:vAlign w:val="center"/>
          </w:tcPr>
          <w:p w14:paraId="37EEF49B" w14:textId="77777777" w:rsidR="00B764FC" w:rsidRDefault="00B764FC">
            <w:pPr>
              <w:pStyle w:val="ListParagraph"/>
              <w:ind w:left="0"/>
              <w:rPr>
                <w:b/>
                <w:bCs/>
                <w:sz w:val="20"/>
                <w:szCs w:val="20"/>
              </w:rPr>
            </w:pPr>
            <w:r>
              <w:rPr>
                <w:b/>
                <w:bCs/>
                <w:sz w:val="20"/>
                <w:szCs w:val="20"/>
              </w:rPr>
              <w:t>Size of dwellings (bedrooms)</w:t>
            </w:r>
          </w:p>
          <w:p w14:paraId="652ABD77" w14:textId="77777777" w:rsidR="00B764FC" w:rsidRDefault="00B764FC">
            <w:pPr>
              <w:pStyle w:val="ListParagraph"/>
              <w:ind w:left="0"/>
              <w:rPr>
                <w:b/>
                <w:bCs/>
                <w:sz w:val="20"/>
                <w:szCs w:val="20"/>
              </w:rPr>
            </w:pPr>
          </w:p>
        </w:tc>
        <w:tc>
          <w:tcPr>
            <w:tcW w:w="7082" w:type="dxa"/>
            <w:tcBorders>
              <w:left w:val="nil"/>
              <w:right w:val="nil"/>
            </w:tcBorders>
          </w:tcPr>
          <w:p w14:paraId="33B3724C" w14:textId="77777777" w:rsidR="00B764FC" w:rsidRDefault="00B764FC">
            <w:pPr>
              <w:pStyle w:val="ListParagraph"/>
              <w:spacing w:before="120"/>
              <w:ind w:left="0"/>
              <w:jc w:val="both"/>
              <w:rPr>
                <w:sz w:val="20"/>
                <w:szCs w:val="20"/>
              </w:rPr>
            </w:pPr>
            <w:r>
              <w:rPr>
                <w:sz w:val="20"/>
                <w:szCs w:val="20"/>
              </w:rPr>
              <w:t xml:space="preserve">Current stock is weighted to larger dwellings, in the context of the high demand for one- and two-bedroom dwellings for lone person and single parent households. </w:t>
            </w:r>
          </w:p>
          <w:p w14:paraId="06348EF3" w14:textId="77777777" w:rsidR="00B764FC" w:rsidRDefault="00B764FC">
            <w:pPr>
              <w:pStyle w:val="ListParagraph"/>
              <w:spacing w:before="120"/>
              <w:ind w:left="0"/>
              <w:jc w:val="both"/>
              <w:rPr>
                <w:sz w:val="20"/>
                <w:szCs w:val="20"/>
              </w:rPr>
            </w:pPr>
          </w:p>
          <w:p w14:paraId="295CC2BE" w14:textId="77777777" w:rsidR="00B764FC" w:rsidRDefault="00B764FC">
            <w:pPr>
              <w:pStyle w:val="ListParagraph"/>
              <w:spacing w:before="120"/>
              <w:ind w:left="0"/>
              <w:jc w:val="both"/>
              <w:rPr>
                <w:sz w:val="20"/>
                <w:szCs w:val="20"/>
              </w:rPr>
            </w:pPr>
            <w:r>
              <w:rPr>
                <w:sz w:val="20"/>
                <w:szCs w:val="20"/>
              </w:rPr>
              <w:lastRenderedPageBreak/>
              <w:t xml:space="preserve">In the future, it will be necessary </w:t>
            </w:r>
            <w:r>
              <w:rPr>
                <w:b/>
                <w:bCs/>
                <w:sz w:val="20"/>
                <w:szCs w:val="20"/>
              </w:rPr>
              <w:t>to provide more one- and 2-bedroom dwellings and less 3- and 4-bedroom dwellings. One- and 2-bedroom dwellings are likely to be part of medium density developments</w:t>
            </w:r>
            <w:r>
              <w:rPr>
                <w:sz w:val="20"/>
                <w:szCs w:val="20"/>
              </w:rPr>
              <w:t>.</w:t>
            </w:r>
          </w:p>
          <w:p w14:paraId="591D2EEC" w14:textId="5485B722" w:rsidR="00B764FC" w:rsidRDefault="00B764FC">
            <w:pPr>
              <w:pStyle w:val="ListParagraph"/>
              <w:spacing w:before="120"/>
              <w:ind w:left="0"/>
              <w:jc w:val="both"/>
              <w:rPr>
                <w:sz w:val="20"/>
                <w:szCs w:val="20"/>
              </w:rPr>
            </w:pPr>
            <w:r>
              <w:rPr>
                <w:sz w:val="20"/>
                <w:szCs w:val="20"/>
              </w:rPr>
              <w:t>The S</w:t>
            </w:r>
            <w:r w:rsidR="000B5E05">
              <w:rPr>
                <w:sz w:val="20"/>
                <w:szCs w:val="20"/>
              </w:rPr>
              <w:t>e</w:t>
            </w:r>
            <w:r>
              <w:rPr>
                <w:sz w:val="20"/>
                <w:szCs w:val="20"/>
              </w:rPr>
              <w:t>ttlement Plan includes a focus on increasing housing density, and diversity, which is consistent with a higher proportion of one- and two-bedroom dwellings, suitable for single parents and lone person households.</w:t>
            </w:r>
          </w:p>
        </w:tc>
      </w:tr>
      <w:tr w:rsidR="00B764FC" w14:paraId="05E87012" w14:textId="77777777" w:rsidTr="000B5E05">
        <w:tc>
          <w:tcPr>
            <w:tcW w:w="2122" w:type="dxa"/>
            <w:tcBorders>
              <w:left w:val="nil"/>
              <w:right w:val="nil"/>
            </w:tcBorders>
            <w:shd w:val="clear" w:color="auto" w:fill="F2F2F2" w:themeFill="background1" w:themeFillShade="F2"/>
            <w:vAlign w:val="center"/>
          </w:tcPr>
          <w:p w14:paraId="7A425FF7" w14:textId="77777777" w:rsidR="00B764FC" w:rsidRDefault="00B764FC">
            <w:pPr>
              <w:pStyle w:val="ListParagraph"/>
              <w:ind w:left="0"/>
              <w:rPr>
                <w:b/>
                <w:bCs/>
                <w:sz w:val="20"/>
                <w:szCs w:val="20"/>
              </w:rPr>
            </w:pPr>
            <w:r>
              <w:rPr>
                <w:b/>
                <w:bCs/>
                <w:sz w:val="20"/>
                <w:szCs w:val="20"/>
              </w:rPr>
              <w:lastRenderedPageBreak/>
              <w:t>Clear strategy for developers</w:t>
            </w:r>
          </w:p>
          <w:p w14:paraId="5F6884FC" w14:textId="77777777" w:rsidR="00B764FC" w:rsidRDefault="00B764FC">
            <w:pPr>
              <w:pStyle w:val="ListParagraph"/>
              <w:ind w:left="0"/>
              <w:rPr>
                <w:b/>
                <w:bCs/>
                <w:sz w:val="20"/>
                <w:szCs w:val="20"/>
              </w:rPr>
            </w:pPr>
          </w:p>
        </w:tc>
        <w:tc>
          <w:tcPr>
            <w:tcW w:w="7082" w:type="dxa"/>
            <w:tcBorders>
              <w:left w:val="nil"/>
              <w:right w:val="nil"/>
            </w:tcBorders>
            <w:shd w:val="clear" w:color="auto" w:fill="F2F2F2" w:themeFill="background1" w:themeFillShade="F2"/>
          </w:tcPr>
          <w:p w14:paraId="47C293EF" w14:textId="77777777" w:rsidR="00B764FC" w:rsidRDefault="00B764FC">
            <w:pPr>
              <w:pStyle w:val="ListParagraph"/>
              <w:spacing w:before="120"/>
              <w:ind w:left="0"/>
              <w:jc w:val="both"/>
              <w:rPr>
                <w:sz w:val="20"/>
                <w:szCs w:val="20"/>
              </w:rPr>
            </w:pPr>
            <w:r>
              <w:rPr>
                <w:sz w:val="20"/>
                <w:szCs w:val="20"/>
              </w:rPr>
              <w:t xml:space="preserve">Geelong has plenty of land which has been identified as suitable for settlement over the next 25 years, providing significant opportunities for local government to negotiate with developers, for the inclusion of social housing.  </w:t>
            </w:r>
          </w:p>
          <w:p w14:paraId="0EB2103E" w14:textId="77777777" w:rsidR="00B764FC" w:rsidRDefault="00B764FC">
            <w:pPr>
              <w:pStyle w:val="ListParagraph"/>
              <w:spacing w:before="120"/>
              <w:ind w:left="0"/>
              <w:jc w:val="both"/>
              <w:rPr>
                <w:sz w:val="20"/>
                <w:szCs w:val="20"/>
              </w:rPr>
            </w:pPr>
          </w:p>
          <w:p w14:paraId="6025DAE3" w14:textId="77777777" w:rsidR="00B764FC" w:rsidRDefault="00B764FC">
            <w:pPr>
              <w:pStyle w:val="ListParagraph"/>
              <w:spacing w:before="120"/>
              <w:ind w:left="0"/>
              <w:jc w:val="both"/>
              <w:rPr>
                <w:sz w:val="20"/>
                <w:szCs w:val="20"/>
              </w:rPr>
            </w:pPr>
            <w:r>
              <w:rPr>
                <w:sz w:val="20"/>
                <w:szCs w:val="20"/>
              </w:rPr>
              <w:t>However, Council needs a clear strategy covering rezoning, Precinct Structure Plans and the terms on which Section 173 Agreements can be negotiated.</w:t>
            </w:r>
          </w:p>
          <w:p w14:paraId="274B116E" w14:textId="77777777" w:rsidR="00B764FC" w:rsidRDefault="00B764FC">
            <w:pPr>
              <w:pStyle w:val="ListParagraph"/>
              <w:spacing w:before="120"/>
              <w:ind w:left="0"/>
              <w:jc w:val="both"/>
              <w:rPr>
                <w:sz w:val="20"/>
                <w:szCs w:val="20"/>
              </w:rPr>
            </w:pPr>
          </w:p>
        </w:tc>
      </w:tr>
      <w:tr w:rsidR="00B764FC" w14:paraId="5624422E" w14:textId="77777777">
        <w:tc>
          <w:tcPr>
            <w:tcW w:w="2122" w:type="dxa"/>
            <w:tcBorders>
              <w:left w:val="nil"/>
              <w:right w:val="nil"/>
            </w:tcBorders>
            <w:vAlign w:val="center"/>
          </w:tcPr>
          <w:p w14:paraId="4120247A" w14:textId="77777777" w:rsidR="00B764FC" w:rsidRDefault="00B764FC">
            <w:pPr>
              <w:pStyle w:val="ListParagraph"/>
              <w:ind w:left="0"/>
              <w:rPr>
                <w:b/>
                <w:bCs/>
                <w:sz w:val="20"/>
                <w:szCs w:val="20"/>
              </w:rPr>
            </w:pPr>
            <w:r>
              <w:rPr>
                <w:b/>
                <w:bCs/>
                <w:sz w:val="20"/>
                <w:szCs w:val="20"/>
              </w:rPr>
              <w:t>Infrastructure for social housing</w:t>
            </w:r>
          </w:p>
          <w:p w14:paraId="0924302B" w14:textId="77777777" w:rsidR="00B764FC" w:rsidRDefault="00B764FC">
            <w:pPr>
              <w:pStyle w:val="ListParagraph"/>
              <w:ind w:left="0"/>
              <w:rPr>
                <w:b/>
                <w:bCs/>
                <w:sz w:val="20"/>
                <w:szCs w:val="20"/>
              </w:rPr>
            </w:pPr>
          </w:p>
        </w:tc>
        <w:tc>
          <w:tcPr>
            <w:tcW w:w="7082" w:type="dxa"/>
            <w:tcBorders>
              <w:left w:val="nil"/>
              <w:right w:val="nil"/>
            </w:tcBorders>
          </w:tcPr>
          <w:p w14:paraId="4C589EE9" w14:textId="77777777" w:rsidR="00B764FC" w:rsidRDefault="00B764FC">
            <w:pPr>
              <w:pStyle w:val="ListParagraph"/>
              <w:spacing w:before="120"/>
              <w:ind w:left="0"/>
              <w:jc w:val="both"/>
              <w:rPr>
                <w:sz w:val="20"/>
                <w:szCs w:val="20"/>
              </w:rPr>
            </w:pPr>
            <w:r>
              <w:rPr>
                <w:sz w:val="20"/>
                <w:szCs w:val="20"/>
              </w:rPr>
              <w:t xml:space="preserve">Where social housing is planned Council needs to take into consideration the </w:t>
            </w:r>
            <w:r>
              <w:rPr>
                <w:b/>
                <w:bCs/>
                <w:sz w:val="20"/>
                <w:szCs w:val="20"/>
              </w:rPr>
              <w:t>infrastructure required by social housing tenants</w:t>
            </w:r>
            <w:r>
              <w:rPr>
                <w:sz w:val="20"/>
                <w:szCs w:val="20"/>
              </w:rPr>
              <w:t>, especially in in newly developed areas.  For example, the development of medium density social housing within 500 metres of an Activity Centre or Railway Station may facilitate access to required services.</w:t>
            </w:r>
          </w:p>
          <w:p w14:paraId="7ED540CF" w14:textId="77777777" w:rsidR="00B764FC" w:rsidRDefault="00B764FC">
            <w:pPr>
              <w:pStyle w:val="ListParagraph"/>
              <w:spacing w:before="120"/>
              <w:ind w:left="0"/>
              <w:jc w:val="both"/>
              <w:rPr>
                <w:sz w:val="20"/>
                <w:szCs w:val="20"/>
              </w:rPr>
            </w:pPr>
          </w:p>
        </w:tc>
      </w:tr>
    </w:tbl>
    <w:p w14:paraId="480BB7A7" w14:textId="1597D5E0" w:rsidR="00B764FC" w:rsidRDefault="000B5E05">
      <w:pPr>
        <w:spacing w:before="240" w:line="276" w:lineRule="auto"/>
        <w:jc w:val="both"/>
        <w:rPr>
          <w:b/>
          <w:bCs/>
          <w:sz w:val="22"/>
          <w:szCs w:val="22"/>
        </w:rPr>
      </w:pPr>
      <w:r>
        <w:rPr>
          <w:b/>
          <w:bCs/>
          <w:sz w:val="22"/>
          <w:szCs w:val="22"/>
        </w:rPr>
        <w:t>In s</w:t>
      </w:r>
      <w:r w:rsidR="00B764FC">
        <w:rPr>
          <w:b/>
          <w:bCs/>
          <w:sz w:val="22"/>
          <w:szCs w:val="22"/>
        </w:rPr>
        <w:t>ummary</w:t>
      </w:r>
    </w:p>
    <w:p w14:paraId="04914C73" w14:textId="4B2564D9" w:rsidR="00B764FC" w:rsidRDefault="00B764FC">
      <w:pPr>
        <w:spacing w:line="276" w:lineRule="auto"/>
        <w:rPr>
          <w:sz w:val="22"/>
          <w:szCs w:val="22"/>
          <w:lang w:val="en-US"/>
        </w:rPr>
      </w:pPr>
      <w:r>
        <w:rPr>
          <w:sz w:val="22"/>
          <w:szCs w:val="22"/>
        </w:rPr>
        <w:t xml:space="preserve">This section has identified that </w:t>
      </w:r>
      <w:r>
        <w:rPr>
          <w:b/>
          <w:bCs/>
          <w:sz w:val="22"/>
          <w:szCs w:val="22"/>
          <w:lang w:val="en-US"/>
        </w:rPr>
        <w:t>approximately 18% of all new housing supply</w:t>
      </w:r>
      <w:r>
        <w:rPr>
          <w:sz w:val="22"/>
          <w:szCs w:val="22"/>
          <w:lang w:val="en-US"/>
        </w:rPr>
        <w:t xml:space="preserve"> would be required as social housing, on average </w:t>
      </w:r>
      <w:r w:rsidR="008A636D">
        <w:rPr>
          <w:b/>
          <w:bCs/>
          <w:sz w:val="22"/>
          <w:szCs w:val="22"/>
          <w:lang w:val="en-US"/>
        </w:rPr>
        <w:t>675</w:t>
      </w:r>
      <w:r>
        <w:rPr>
          <w:b/>
          <w:bCs/>
          <w:sz w:val="22"/>
          <w:szCs w:val="22"/>
          <w:lang w:val="en-US"/>
        </w:rPr>
        <w:t xml:space="preserve"> dwellings per year</w:t>
      </w:r>
      <w:r>
        <w:rPr>
          <w:sz w:val="22"/>
          <w:szCs w:val="22"/>
          <w:lang w:val="en-US"/>
        </w:rPr>
        <w:t>, to fully meet the projected demand for social housing in Geelong.</w:t>
      </w:r>
    </w:p>
    <w:p w14:paraId="552E95E4" w14:textId="77777777" w:rsidR="00B764FC" w:rsidRDefault="00B764FC">
      <w:pPr>
        <w:spacing w:line="276" w:lineRule="auto"/>
        <w:rPr>
          <w:sz w:val="22"/>
          <w:szCs w:val="22"/>
          <w:lang w:val="en-US"/>
        </w:rPr>
      </w:pPr>
    </w:p>
    <w:p w14:paraId="77393BEB" w14:textId="77777777" w:rsidR="00B764FC" w:rsidRDefault="00B764FC">
      <w:pPr>
        <w:spacing w:line="276" w:lineRule="auto"/>
        <w:rPr>
          <w:sz w:val="22"/>
          <w:szCs w:val="22"/>
        </w:rPr>
      </w:pPr>
      <w:r>
        <w:rPr>
          <w:sz w:val="22"/>
          <w:szCs w:val="22"/>
        </w:rPr>
        <w:t>Potential sites that provide opportunities for increasing the supply of social housing in Geelong include:</w:t>
      </w:r>
    </w:p>
    <w:p w14:paraId="69BC9C62" w14:textId="77777777" w:rsidR="00B764FC" w:rsidRDefault="00B764FC" w:rsidP="0054190D">
      <w:pPr>
        <w:pStyle w:val="ListParagraph"/>
        <w:numPr>
          <w:ilvl w:val="0"/>
          <w:numId w:val="53"/>
        </w:numPr>
        <w:spacing w:line="276" w:lineRule="auto"/>
        <w:jc w:val="both"/>
        <w:rPr>
          <w:sz w:val="22"/>
          <w:szCs w:val="22"/>
        </w:rPr>
      </w:pPr>
      <w:r>
        <w:rPr>
          <w:sz w:val="22"/>
          <w:szCs w:val="22"/>
        </w:rPr>
        <w:t>land currently owned by the City of Greater Geelong which has the potential to provide 400 social housing dwellings</w:t>
      </w:r>
    </w:p>
    <w:p w14:paraId="03C838BE" w14:textId="77777777" w:rsidR="00B764FC" w:rsidRDefault="00B764FC" w:rsidP="0054190D">
      <w:pPr>
        <w:pStyle w:val="ListParagraph"/>
        <w:numPr>
          <w:ilvl w:val="0"/>
          <w:numId w:val="53"/>
        </w:numPr>
        <w:spacing w:line="276" w:lineRule="auto"/>
        <w:jc w:val="both"/>
        <w:rPr>
          <w:sz w:val="22"/>
          <w:szCs w:val="22"/>
        </w:rPr>
      </w:pPr>
      <w:r>
        <w:rPr>
          <w:sz w:val="22"/>
          <w:szCs w:val="22"/>
        </w:rPr>
        <w:t>land currently owned by the State Government which has the potential to provide 900 social housing dwellings</w:t>
      </w:r>
    </w:p>
    <w:p w14:paraId="33357C09" w14:textId="77777777" w:rsidR="00B764FC" w:rsidRDefault="00B764FC" w:rsidP="0054190D">
      <w:pPr>
        <w:pStyle w:val="ListParagraph"/>
        <w:numPr>
          <w:ilvl w:val="0"/>
          <w:numId w:val="53"/>
        </w:numPr>
        <w:spacing w:line="276" w:lineRule="auto"/>
        <w:jc w:val="both"/>
        <w:rPr>
          <w:sz w:val="22"/>
          <w:szCs w:val="22"/>
        </w:rPr>
      </w:pPr>
      <w:r>
        <w:rPr>
          <w:sz w:val="22"/>
          <w:szCs w:val="22"/>
        </w:rPr>
        <w:t>up to 70,000 new dwellings will be built on privately owned land across the City of Greater Geelong providing wide scope for negotiating with private developers about the inclusion of social housing within this new housing supply</w:t>
      </w:r>
    </w:p>
    <w:p w14:paraId="25E422CA" w14:textId="77777777" w:rsidR="00B764FC" w:rsidRDefault="00B764FC">
      <w:pPr>
        <w:spacing w:line="276" w:lineRule="auto"/>
        <w:jc w:val="both"/>
        <w:rPr>
          <w:sz w:val="22"/>
          <w:szCs w:val="22"/>
        </w:rPr>
      </w:pPr>
    </w:p>
    <w:p w14:paraId="3C1757BB" w14:textId="77777777" w:rsidR="00B764FC" w:rsidRDefault="00B764FC">
      <w:pPr>
        <w:spacing w:after="240" w:line="276" w:lineRule="auto"/>
        <w:jc w:val="both"/>
        <w:rPr>
          <w:sz w:val="22"/>
          <w:szCs w:val="22"/>
        </w:rPr>
      </w:pPr>
      <w:r>
        <w:rPr>
          <w:sz w:val="22"/>
          <w:szCs w:val="22"/>
        </w:rPr>
        <w:t>Key challenges facing the future provision of social housing in Geelong include:</w:t>
      </w:r>
    </w:p>
    <w:p w14:paraId="668D6B2F" w14:textId="77777777" w:rsidR="00B764FC" w:rsidRDefault="00B764FC" w:rsidP="0054190D">
      <w:pPr>
        <w:pStyle w:val="BodyText"/>
        <w:numPr>
          <w:ilvl w:val="0"/>
          <w:numId w:val="52"/>
        </w:numPr>
        <w:spacing w:line="276" w:lineRule="auto"/>
        <w:jc w:val="both"/>
        <w:rPr>
          <w:rFonts w:ascii="Calibri" w:hAnsi="Calibri" w:cs="Calibri"/>
          <w:sz w:val="22"/>
          <w:szCs w:val="22"/>
        </w:rPr>
      </w:pPr>
      <w:r>
        <w:rPr>
          <w:rFonts w:ascii="Calibri" w:hAnsi="Calibri" w:cs="Calibri"/>
          <w:sz w:val="22"/>
          <w:szCs w:val="22"/>
        </w:rPr>
        <w:t>the need to ensure a more even distribution of social housing</w:t>
      </w:r>
    </w:p>
    <w:p w14:paraId="5A55EA80" w14:textId="77777777" w:rsidR="00B764FC" w:rsidRDefault="00B764FC" w:rsidP="0054190D">
      <w:pPr>
        <w:pStyle w:val="BodyText"/>
        <w:numPr>
          <w:ilvl w:val="0"/>
          <w:numId w:val="52"/>
        </w:numPr>
        <w:spacing w:line="276" w:lineRule="auto"/>
        <w:jc w:val="both"/>
        <w:rPr>
          <w:rFonts w:ascii="Calibri" w:hAnsi="Calibri" w:cs="Calibri"/>
          <w:sz w:val="22"/>
          <w:szCs w:val="22"/>
        </w:rPr>
      </w:pPr>
      <w:r>
        <w:rPr>
          <w:rFonts w:ascii="Calibri" w:hAnsi="Calibri" w:cs="Calibri"/>
          <w:sz w:val="22"/>
          <w:szCs w:val="22"/>
        </w:rPr>
        <w:t xml:space="preserve">a need to provide more one- and 2-bedroom dwellings and fewer 3- and 4-bedroom dwellings </w:t>
      </w:r>
    </w:p>
    <w:p w14:paraId="2D121714" w14:textId="77777777" w:rsidR="00B764FC" w:rsidRDefault="00B764FC" w:rsidP="0054190D">
      <w:pPr>
        <w:pStyle w:val="BodyText"/>
        <w:numPr>
          <w:ilvl w:val="0"/>
          <w:numId w:val="52"/>
        </w:numPr>
        <w:spacing w:line="276" w:lineRule="auto"/>
        <w:jc w:val="both"/>
        <w:rPr>
          <w:rFonts w:ascii="Calibri" w:hAnsi="Calibri" w:cs="Calibri"/>
          <w:i/>
          <w:iCs/>
          <w:sz w:val="22"/>
          <w:szCs w:val="22"/>
        </w:rPr>
      </w:pPr>
      <w:r>
        <w:rPr>
          <w:rFonts w:ascii="Calibri" w:hAnsi="Calibri" w:cs="Calibri"/>
          <w:sz w:val="22"/>
          <w:szCs w:val="22"/>
        </w:rPr>
        <w:t>ensuring suitable infrastructure is provided to support social housing tenants</w:t>
      </w:r>
    </w:p>
    <w:p w14:paraId="2A0C274B" w14:textId="77777777" w:rsidR="00B764FC" w:rsidRDefault="00B764FC" w:rsidP="0054190D">
      <w:pPr>
        <w:pStyle w:val="BodyText"/>
        <w:numPr>
          <w:ilvl w:val="0"/>
          <w:numId w:val="52"/>
        </w:numPr>
        <w:spacing w:line="276" w:lineRule="auto"/>
        <w:jc w:val="both"/>
        <w:rPr>
          <w:rFonts w:ascii="Calibri" w:hAnsi="Calibri" w:cs="Calibri"/>
          <w:sz w:val="22"/>
          <w:szCs w:val="22"/>
        </w:rPr>
      </w:pPr>
      <w:r>
        <w:rPr>
          <w:rFonts w:ascii="Calibri" w:hAnsi="Calibri" w:cs="Calibri"/>
          <w:sz w:val="22"/>
          <w:szCs w:val="22"/>
        </w:rPr>
        <w:t>redevelopment of existing social housing to better utilise available land, and to better match tenants with housing types</w:t>
      </w:r>
    </w:p>
    <w:p w14:paraId="2F4C3799" w14:textId="77777777" w:rsidR="00B764FC" w:rsidRDefault="00B764FC" w:rsidP="0054190D">
      <w:pPr>
        <w:pStyle w:val="BodyText"/>
        <w:numPr>
          <w:ilvl w:val="0"/>
          <w:numId w:val="52"/>
        </w:numPr>
        <w:spacing w:line="276" w:lineRule="auto"/>
        <w:jc w:val="both"/>
        <w:rPr>
          <w:rFonts w:ascii="Calibri" w:hAnsi="Calibri" w:cs="Calibri"/>
          <w:sz w:val="22"/>
          <w:szCs w:val="22"/>
        </w:rPr>
      </w:pPr>
      <w:r>
        <w:rPr>
          <w:rFonts w:ascii="Calibri" w:hAnsi="Calibri" w:cs="Calibri"/>
          <w:sz w:val="22"/>
          <w:szCs w:val="22"/>
        </w:rPr>
        <w:t>development of a clear strategy covering rezoning, Precinct Structure Plans and the terms on which Section 173 Agreements can be negotiated</w:t>
      </w:r>
    </w:p>
    <w:p w14:paraId="29F75500" w14:textId="77777777" w:rsidR="00B764FC" w:rsidRPr="00291EB3" w:rsidRDefault="00B764FC" w:rsidP="00077040">
      <w:pPr>
        <w:pStyle w:val="Heading1"/>
        <w:numPr>
          <w:ilvl w:val="0"/>
          <w:numId w:val="14"/>
        </w:numPr>
        <w:ind w:hanging="720"/>
        <w:rPr>
          <w:color w:val="002060"/>
        </w:rPr>
      </w:pPr>
      <w:bookmarkStart w:id="140" w:name="_Toc22120190"/>
      <w:r w:rsidRPr="00291EB3">
        <w:rPr>
          <w:color w:val="002060"/>
        </w:rPr>
        <w:lastRenderedPageBreak/>
        <w:t>Where will the finance for Social Housing come from?</w:t>
      </w:r>
      <w:bookmarkEnd w:id="140"/>
    </w:p>
    <w:p w14:paraId="1084B479" w14:textId="77777777" w:rsidR="00B764FC" w:rsidRDefault="00B764FC">
      <w:pPr>
        <w:spacing w:line="276" w:lineRule="auto"/>
        <w:jc w:val="both"/>
        <w:rPr>
          <w:sz w:val="22"/>
          <w:szCs w:val="22"/>
        </w:rPr>
      </w:pPr>
    </w:p>
    <w:p w14:paraId="4E0C46C5" w14:textId="77777777" w:rsidR="00B764FC" w:rsidRDefault="00B764FC">
      <w:pPr>
        <w:pStyle w:val="Heading2"/>
      </w:pPr>
      <w:bookmarkStart w:id="141" w:name="_Toc22120191"/>
      <w:r>
        <w:t>10.1 What is the scale of investment in social housing required?</w:t>
      </w:r>
      <w:bookmarkEnd w:id="141"/>
    </w:p>
    <w:p w14:paraId="4803D1FA" w14:textId="77777777" w:rsidR="00B764FC" w:rsidRDefault="00B764FC">
      <w:pPr>
        <w:pStyle w:val="BodyText1"/>
        <w:spacing w:line="276" w:lineRule="auto"/>
        <w:jc w:val="both"/>
        <w:rPr>
          <w:rFonts w:ascii="Calibri" w:hAnsi="Calibri" w:cs="Calibri"/>
        </w:rPr>
      </w:pPr>
      <w:r>
        <w:rPr>
          <w:rFonts w:ascii="Calibri" w:hAnsi="Calibri" w:cs="Calibri"/>
        </w:rPr>
        <w:t xml:space="preserve">The data presented above has estimated that 13,500 new social housing dwellings will be required in Geelong to respond to the estimated need for social housing by 2041. This figure includes the replacement of 1,500 existing public housing dwellings that will come to the end of their economic life within that period. </w:t>
      </w:r>
    </w:p>
    <w:p w14:paraId="559B3890" w14:textId="77777777" w:rsidR="00B764FC" w:rsidRDefault="00B764FC">
      <w:pPr>
        <w:pStyle w:val="BodyText1"/>
        <w:spacing w:line="276" w:lineRule="auto"/>
        <w:jc w:val="both"/>
        <w:rPr>
          <w:rFonts w:ascii="Calibri" w:hAnsi="Calibri" w:cs="Calibri"/>
        </w:rPr>
      </w:pPr>
    </w:p>
    <w:p w14:paraId="3ED5D6DC" w14:textId="5765DC39" w:rsidR="00B764FC" w:rsidRDefault="00B764FC">
      <w:pPr>
        <w:pStyle w:val="BodyText1"/>
        <w:spacing w:line="276" w:lineRule="auto"/>
        <w:jc w:val="both"/>
        <w:rPr>
          <w:rFonts w:ascii="Calibri" w:hAnsi="Calibri" w:cs="Calibri"/>
        </w:rPr>
      </w:pPr>
      <w:r>
        <w:rPr>
          <w:rFonts w:ascii="Calibri" w:hAnsi="Calibri" w:cs="Calibri"/>
        </w:rPr>
        <w:t xml:space="preserve">This demand for social housing equates to an average of approximately 675 dwellings per annum at a total development cost of about $275M (assuming an average development cost of $350,000 per </w:t>
      </w:r>
      <w:r w:rsidR="000D6FCB">
        <w:rPr>
          <w:rFonts w:ascii="Calibri" w:hAnsi="Calibri" w:cs="Calibri"/>
        </w:rPr>
        <w:t>dwellings)</w:t>
      </w:r>
      <w:r>
        <w:rPr>
          <w:rFonts w:ascii="Calibri" w:hAnsi="Calibri" w:cs="Calibri"/>
        </w:rPr>
        <w:t xml:space="preserve"> </w:t>
      </w:r>
    </w:p>
    <w:p w14:paraId="2CA09B00" w14:textId="77777777" w:rsidR="00B764FC" w:rsidRDefault="00B764FC">
      <w:pPr>
        <w:pStyle w:val="BodyText1"/>
        <w:spacing w:line="276" w:lineRule="auto"/>
        <w:jc w:val="both"/>
        <w:rPr>
          <w:rFonts w:ascii="Calibri" w:hAnsi="Calibri" w:cs="Calibri"/>
        </w:rPr>
      </w:pPr>
    </w:p>
    <w:p w14:paraId="28672A1D" w14:textId="77777777" w:rsidR="00B764FC" w:rsidRDefault="00B764FC">
      <w:pPr>
        <w:pStyle w:val="BodyText1"/>
        <w:spacing w:line="276" w:lineRule="auto"/>
        <w:jc w:val="both"/>
        <w:rPr>
          <w:rFonts w:ascii="Calibri" w:hAnsi="Calibri" w:cs="Calibri"/>
        </w:rPr>
      </w:pPr>
      <w:r>
        <w:rPr>
          <w:rFonts w:ascii="Calibri" w:hAnsi="Calibri" w:cs="Calibri"/>
        </w:rPr>
        <w:t>Responding to this demand is far beyond the capacity of any Local Government to finance. Council must therefore look to the other tiers of government to participate in a partnership that can address the desperate need for more social housing.</w:t>
      </w:r>
    </w:p>
    <w:p w14:paraId="18C76F95" w14:textId="77777777" w:rsidR="00B764FC" w:rsidRDefault="00B764FC"/>
    <w:p w14:paraId="361060D3" w14:textId="361020ED" w:rsidR="00B764FC" w:rsidRDefault="00B764FC">
      <w:pPr>
        <w:spacing w:line="276" w:lineRule="auto"/>
        <w:jc w:val="both"/>
        <w:rPr>
          <w:sz w:val="22"/>
          <w:szCs w:val="22"/>
        </w:rPr>
      </w:pPr>
      <w:r>
        <w:rPr>
          <w:sz w:val="22"/>
          <w:szCs w:val="22"/>
        </w:rPr>
        <w:t xml:space="preserve">The City of Greater Geelong </w:t>
      </w:r>
      <w:r>
        <w:rPr>
          <w:i/>
          <w:iCs/>
          <w:sz w:val="22"/>
          <w:szCs w:val="22"/>
        </w:rPr>
        <w:t>Social Housing Plan 20</w:t>
      </w:r>
      <w:r w:rsidR="003636C3">
        <w:rPr>
          <w:i/>
          <w:iCs/>
          <w:sz w:val="22"/>
          <w:szCs w:val="22"/>
        </w:rPr>
        <w:t>20</w:t>
      </w:r>
      <w:r>
        <w:rPr>
          <w:i/>
          <w:iCs/>
          <w:sz w:val="22"/>
          <w:szCs w:val="22"/>
        </w:rPr>
        <w:t xml:space="preserve"> – 2041</w:t>
      </w:r>
      <w:r>
        <w:rPr>
          <w:sz w:val="22"/>
          <w:szCs w:val="22"/>
        </w:rPr>
        <w:t xml:space="preserve"> is developed within a broader Commonwealth, State and Regional policy context</w:t>
      </w:r>
      <w:r w:rsidR="00354A20">
        <w:rPr>
          <w:sz w:val="22"/>
          <w:szCs w:val="22"/>
        </w:rPr>
        <w:t xml:space="preserve"> (see table 20 for Summary)</w:t>
      </w:r>
      <w:r>
        <w:rPr>
          <w:sz w:val="22"/>
          <w:szCs w:val="22"/>
        </w:rPr>
        <w:t>.</w:t>
      </w:r>
      <w:r>
        <w:rPr>
          <w:rStyle w:val="FootnoteReference"/>
          <w:sz w:val="22"/>
          <w:szCs w:val="22"/>
        </w:rPr>
        <w:footnoteReference w:id="21"/>
      </w:r>
      <w:r>
        <w:rPr>
          <w:sz w:val="22"/>
          <w:szCs w:val="22"/>
        </w:rPr>
        <w:t xml:space="preserve"> Key policies that guide the planning and provision of social housing are summarised below. This Section considers key policies and programs that have the potential to provide funding to enable the City of Greater Geelong </w:t>
      </w:r>
      <w:r>
        <w:rPr>
          <w:i/>
          <w:iCs/>
          <w:sz w:val="22"/>
          <w:szCs w:val="22"/>
        </w:rPr>
        <w:t>Social Housing Plan</w:t>
      </w:r>
      <w:r>
        <w:rPr>
          <w:sz w:val="22"/>
          <w:szCs w:val="22"/>
        </w:rPr>
        <w:t xml:space="preserve"> to achieve its objectives.</w:t>
      </w:r>
    </w:p>
    <w:p w14:paraId="2D5F533F" w14:textId="77777777" w:rsidR="00B764FC" w:rsidRDefault="00B764FC">
      <w:pPr>
        <w:spacing w:line="276" w:lineRule="auto"/>
        <w:jc w:val="both"/>
        <w:rPr>
          <w:sz w:val="22"/>
          <w:szCs w:val="22"/>
        </w:rPr>
      </w:pPr>
    </w:p>
    <w:p w14:paraId="3D097480" w14:textId="77777777" w:rsidR="00B764FC" w:rsidRDefault="00B764FC">
      <w:pPr>
        <w:pStyle w:val="Heading2"/>
      </w:pPr>
      <w:bookmarkStart w:id="142" w:name="_Toc22120192"/>
      <w:bookmarkStart w:id="143" w:name="_Ref16182172"/>
      <w:r>
        <w:t>10.2 What can the Commonwealth Government contribute?</w:t>
      </w:r>
      <w:bookmarkEnd w:id="142"/>
    </w:p>
    <w:p w14:paraId="2EC71975" w14:textId="77777777" w:rsidR="00B764FC" w:rsidRDefault="00B764FC"/>
    <w:p w14:paraId="272877DF" w14:textId="77777777" w:rsidR="00B764FC" w:rsidRDefault="00B764FC">
      <w:pPr>
        <w:spacing w:line="276" w:lineRule="auto"/>
        <w:jc w:val="both"/>
      </w:pPr>
      <w:r>
        <w:rPr>
          <w:sz w:val="22"/>
          <w:szCs w:val="22"/>
        </w:rPr>
        <w:t xml:space="preserve">While the Commonwealth Government exercises the greatest influence on the housing market through its influence on monetary policy, fiscal policy, immigration policy and industry policy, it does not have constitutional responsibility for Housing Assistance. </w:t>
      </w:r>
    </w:p>
    <w:p w14:paraId="568B5BBC" w14:textId="77777777" w:rsidR="00B764FC" w:rsidRDefault="00B764FC">
      <w:pPr>
        <w:spacing w:line="276" w:lineRule="auto"/>
        <w:jc w:val="both"/>
        <w:rPr>
          <w:rStyle w:val="Strong"/>
        </w:rPr>
      </w:pPr>
    </w:p>
    <w:p w14:paraId="3B4B1E34" w14:textId="77777777" w:rsidR="00B764FC" w:rsidRDefault="00B764FC">
      <w:pPr>
        <w:spacing w:after="240" w:line="276" w:lineRule="auto"/>
        <w:jc w:val="both"/>
      </w:pPr>
      <w:r>
        <w:rPr>
          <w:sz w:val="22"/>
          <w:szCs w:val="22"/>
        </w:rPr>
        <w:t xml:space="preserve">However, as a legacy of the desperate need for a national approach to overcome housing shortages at the end of the Second World War, the Commonwealth struck a deal with the States under a Commonwealth State Housing Agreement to fund home ownership and public housing (which at that time was an open rental housing tenure). That agreement evolved over time and is the forerunner to the current National Housing &amp; Homelessness Agreement.  </w:t>
      </w:r>
    </w:p>
    <w:p w14:paraId="4BD281BD" w14:textId="77777777" w:rsidR="00B764FC" w:rsidRDefault="00B764FC">
      <w:pPr>
        <w:rPr>
          <w:b/>
          <w:bCs/>
          <w:color w:val="808080"/>
          <w:sz w:val="20"/>
          <w:szCs w:val="20"/>
        </w:rPr>
      </w:pPr>
      <w:r>
        <w:rPr>
          <w:b/>
          <w:bCs/>
        </w:rPr>
        <w:br w:type="page"/>
      </w:r>
    </w:p>
    <w:p w14:paraId="65C8091F" w14:textId="216FF18C" w:rsidR="00B764FC" w:rsidRDefault="00B764FC">
      <w:pPr>
        <w:pStyle w:val="Caption"/>
        <w:keepNext/>
        <w:rPr>
          <w:b/>
          <w:bCs/>
        </w:rPr>
      </w:pPr>
      <w:bookmarkStart w:id="144" w:name="_Toc22120055"/>
      <w:r>
        <w:rPr>
          <w:b/>
          <w:bCs/>
        </w:rPr>
        <w:lastRenderedPageBreak/>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20</w:t>
      </w:r>
      <w:r w:rsidR="00FF5CA4">
        <w:rPr>
          <w:b/>
          <w:bCs/>
        </w:rPr>
        <w:fldChar w:fldCharType="end"/>
      </w:r>
      <w:bookmarkEnd w:id="143"/>
      <w:r>
        <w:rPr>
          <w:b/>
          <w:bCs/>
        </w:rPr>
        <w:t xml:space="preserve">: Policy </w:t>
      </w:r>
      <w:r w:rsidR="000D6FCB">
        <w:rPr>
          <w:b/>
          <w:bCs/>
        </w:rPr>
        <w:t>Context</w:t>
      </w:r>
      <w:bookmarkEnd w:id="144"/>
    </w:p>
    <w:tbl>
      <w:tblPr>
        <w:tblW w:w="0" w:type="auto"/>
        <w:jc w:val="center"/>
        <w:tblLayout w:type="fixed"/>
        <w:tblLook w:val="0000" w:firstRow="0" w:lastRow="0" w:firstColumn="0" w:lastColumn="0" w:noHBand="0" w:noVBand="0"/>
      </w:tblPr>
      <w:tblGrid>
        <w:gridCol w:w="2301"/>
        <w:gridCol w:w="2301"/>
        <w:gridCol w:w="2301"/>
        <w:gridCol w:w="2301"/>
      </w:tblGrid>
      <w:tr w:rsidR="00B764FC" w14:paraId="2C4C84F2" w14:textId="77777777" w:rsidTr="00291EB3">
        <w:trPr>
          <w:jc w:val="center"/>
        </w:trPr>
        <w:tc>
          <w:tcPr>
            <w:tcW w:w="2301" w:type="dxa"/>
            <w:tcBorders>
              <w:top w:val="nil"/>
              <w:left w:val="nil"/>
              <w:bottom w:val="nil"/>
              <w:right w:val="nil"/>
            </w:tcBorders>
            <w:shd w:val="clear" w:color="auto" w:fill="002060"/>
          </w:tcPr>
          <w:p w14:paraId="4612E5D2" w14:textId="77777777" w:rsidR="00B764FC" w:rsidRDefault="00B764FC">
            <w:pPr>
              <w:ind w:left="567"/>
              <w:jc w:val="center"/>
              <w:rPr>
                <w:b/>
                <w:bCs/>
                <w:color w:val="FFFFFF"/>
                <w:sz w:val="20"/>
                <w:szCs w:val="20"/>
              </w:rPr>
            </w:pPr>
            <w:r>
              <w:rPr>
                <w:b/>
                <w:bCs/>
                <w:color w:val="FFFFFF"/>
                <w:sz w:val="20"/>
                <w:szCs w:val="20"/>
              </w:rPr>
              <w:t>Commonwealth Government of Australia</w:t>
            </w:r>
          </w:p>
          <w:p w14:paraId="5E0770EB" w14:textId="77777777" w:rsidR="00B764FC" w:rsidRDefault="00B764FC">
            <w:pPr>
              <w:ind w:left="567"/>
              <w:jc w:val="center"/>
              <w:rPr>
                <w:b/>
                <w:bCs/>
                <w:color w:val="FFFFFF"/>
                <w:sz w:val="20"/>
                <w:szCs w:val="20"/>
              </w:rPr>
            </w:pPr>
          </w:p>
        </w:tc>
        <w:tc>
          <w:tcPr>
            <w:tcW w:w="2301" w:type="dxa"/>
            <w:tcBorders>
              <w:top w:val="nil"/>
              <w:left w:val="nil"/>
              <w:bottom w:val="nil"/>
              <w:right w:val="nil"/>
            </w:tcBorders>
            <w:shd w:val="clear" w:color="auto" w:fill="002060"/>
          </w:tcPr>
          <w:p w14:paraId="5E83DA16" w14:textId="77777777" w:rsidR="00B764FC" w:rsidRDefault="00B764FC">
            <w:pPr>
              <w:ind w:left="567"/>
              <w:jc w:val="center"/>
              <w:rPr>
                <w:b/>
                <w:bCs/>
                <w:color w:val="FFFFFF"/>
                <w:sz w:val="20"/>
                <w:szCs w:val="20"/>
              </w:rPr>
            </w:pPr>
            <w:r>
              <w:rPr>
                <w:b/>
                <w:bCs/>
                <w:color w:val="FFFFFF"/>
                <w:sz w:val="20"/>
                <w:szCs w:val="20"/>
              </w:rPr>
              <w:t>State Government of Victoria</w:t>
            </w:r>
          </w:p>
          <w:p w14:paraId="03525B5B" w14:textId="77777777" w:rsidR="00B764FC" w:rsidRDefault="00B764FC">
            <w:pPr>
              <w:ind w:left="567"/>
              <w:jc w:val="center"/>
              <w:rPr>
                <w:b/>
                <w:bCs/>
                <w:color w:val="FFFFFF"/>
                <w:sz w:val="20"/>
                <w:szCs w:val="20"/>
              </w:rPr>
            </w:pPr>
          </w:p>
        </w:tc>
        <w:tc>
          <w:tcPr>
            <w:tcW w:w="2301" w:type="dxa"/>
            <w:tcBorders>
              <w:top w:val="nil"/>
              <w:left w:val="nil"/>
              <w:bottom w:val="nil"/>
              <w:right w:val="nil"/>
            </w:tcBorders>
            <w:shd w:val="clear" w:color="auto" w:fill="002060"/>
          </w:tcPr>
          <w:p w14:paraId="098771FA" w14:textId="77777777" w:rsidR="00B764FC" w:rsidRDefault="00B764FC">
            <w:pPr>
              <w:ind w:left="567"/>
              <w:jc w:val="center"/>
              <w:rPr>
                <w:b/>
                <w:bCs/>
                <w:color w:val="FFFFFF"/>
                <w:sz w:val="20"/>
                <w:szCs w:val="20"/>
              </w:rPr>
            </w:pPr>
            <w:r>
              <w:rPr>
                <w:b/>
                <w:bCs/>
                <w:color w:val="FFFFFF"/>
                <w:sz w:val="20"/>
                <w:szCs w:val="20"/>
              </w:rPr>
              <w:t>Regional Level Initiatives</w:t>
            </w:r>
          </w:p>
          <w:p w14:paraId="2C2C34FA" w14:textId="77777777" w:rsidR="00B764FC" w:rsidRDefault="00B764FC">
            <w:pPr>
              <w:ind w:left="567"/>
              <w:jc w:val="center"/>
              <w:rPr>
                <w:b/>
                <w:bCs/>
                <w:color w:val="FFFFFF"/>
                <w:sz w:val="20"/>
                <w:szCs w:val="20"/>
              </w:rPr>
            </w:pPr>
          </w:p>
        </w:tc>
        <w:tc>
          <w:tcPr>
            <w:tcW w:w="2301" w:type="dxa"/>
            <w:tcBorders>
              <w:top w:val="nil"/>
              <w:left w:val="nil"/>
              <w:bottom w:val="nil"/>
              <w:right w:val="nil"/>
            </w:tcBorders>
            <w:shd w:val="clear" w:color="auto" w:fill="002060"/>
          </w:tcPr>
          <w:p w14:paraId="36F92B49" w14:textId="77777777" w:rsidR="00B764FC" w:rsidRDefault="00B764FC">
            <w:pPr>
              <w:ind w:left="567"/>
              <w:jc w:val="center"/>
              <w:rPr>
                <w:b/>
                <w:bCs/>
                <w:color w:val="FFFFFF"/>
                <w:sz w:val="20"/>
                <w:szCs w:val="20"/>
              </w:rPr>
            </w:pPr>
            <w:r>
              <w:rPr>
                <w:b/>
                <w:bCs/>
                <w:color w:val="FFFFFF"/>
                <w:sz w:val="20"/>
                <w:szCs w:val="20"/>
              </w:rPr>
              <w:t>City of Greater Geelong</w:t>
            </w:r>
          </w:p>
          <w:p w14:paraId="0FFE5D43" w14:textId="77777777" w:rsidR="00B764FC" w:rsidRDefault="00B764FC">
            <w:pPr>
              <w:ind w:left="567"/>
              <w:jc w:val="center"/>
              <w:rPr>
                <w:b/>
                <w:bCs/>
                <w:color w:val="FFFFFF"/>
                <w:sz w:val="20"/>
                <w:szCs w:val="20"/>
              </w:rPr>
            </w:pPr>
          </w:p>
        </w:tc>
      </w:tr>
      <w:tr w:rsidR="00B764FC" w14:paraId="1341E864" w14:textId="77777777">
        <w:trPr>
          <w:trHeight w:val="788"/>
          <w:jc w:val="center"/>
        </w:trPr>
        <w:tc>
          <w:tcPr>
            <w:tcW w:w="2301" w:type="dxa"/>
            <w:tcBorders>
              <w:top w:val="nil"/>
              <w:left w:val="nil"/>
              <w:bottom w:val="nil"/>
              <w:right w:val="nil"/>
            </w:tcBorders>
          </w:tcPr>
          <w:p w14:paraId="0E94F4D6" w14:textId="77777777" w:rsidR="00B764FC" w:rsidRDefault="00B764FC" w:rsidP="00077040">
            <w:pPr>
              <w:pStyle w:val="ListParagraph"/>
              <w:numPr>
                <w:ilvl w:val="0"/>
                <w:numId w:val="4"/>
              </w:numPr>
              <w:spacing w:before="240"/>
              <w:ind w:left="567" w:hanging="142"/>
              <w:rPr>
                <w:i/>
                <w:iCs/>
                <w:sz w:val="20"/>
                <w:szCs w:val="20"/>
              </w:rPr>
            </w:pPr>
            <w:r>
              <w:rPr>
                <w:i/>
                <w:iCs/>
                <w:sz w:val="20"/>
                <w:szCs w:val="20"/>
              </w:rPr>
              <w:t>National Housing and Homelessness Agreement (NHHA)</w:t>
            </w:r>
          </w:p>
          <w:p w14:paraId="03815CB5" w14:textId="77777777" w:rsidR="00B764FC" w:rsidRDefault="00B764FC" w:rsidP="00077040">
            <w:pPr>
              <w:pStyle w:val="ListParagraph"/>
              <w:numPr>
                <w:ilvl w:val="0"/>
                <w:numId w:val="4"/>
              </w:numPr>
              <w:ind w:left="567" w:hanging="142"/>
              <w:rPr>
                <w:i/>
                <w:iCs/>
                <w:sz w:val="20"/>
                <w:szCs w:val="20"/>
                <w:shd w:val="clear" w:color="auto" w:fill="FFFFFF"/>
              </w:rPr>
            </w:pPr>
            <w:r>
              <w:rPr>
                <w:i/>
                <w:iCs/>
                <w:sz w:val="20"/>
                <w:szCs w:val="20"/>
                <w:shd w:val="clear" w:color="auto" w:fill="FFFFFF"/>
              </w:rPr>
              <w:t>National Housing Finance &amp; Infrastructure Corporation (NHFIC)</w:t>
            </w:r>
          </w:p>
          <w:p w14:paraId="14CE509E" w14:textId="77777777" w:rsidR="00B764FC" w:rsidRDefault="00B764FC" w:rsidP="00077040">
            <w:pPr>
              <w:pStyle w:val="ListParagraph"/>
              <w:numPr>
                <w:ilvl w:val="0"/>
                <w:numId w:val="4"/>
              </w:numPr>
              <w:ind w:left="567" w:hanging="142"/>
              <w:rPr>
                <w:i/>
                <w:iCs/>
                <w:sz w:val="20"/>
                <w:szCs w:val="20"/>
              </w:rPr>
            </w:pPr>
            <w:r>
              <w:rPr>
                <w:i/>
                <w:iCs/>
                <w:sz w:val="20"/>
                <w:szCs w:val="20"/>
              </w:rPr>
              <w:t>National Housing Infrastructure Facility (NHIF)</w:t>
            </w:r>
          </w:p>
          <w:p w14:paraId="49F76E1A" w14:textId="77777777" w:rsidR="00B764FC" w:rsidRDefault="00B764FC" w:rsidP="00077040">
            <w:pPr>
              <w:pStyle w:val="ListParagraph"/>
              <w:numPr>
                <w:ilvl w:val="0"/>
                <w:numId w:val="4"/>
              </w:numPr>
              <w:ind w:left="567" w:hanging="142"/>
              <w:rPr>
                <w:i/>
                <w:iCs/>
                <w:sz w:val="20"/>
                <w:szCs w:val="20"/>
              </w:rPr>
            </w:pPr>
            <w:r>
              <w:rPr>
                <w:i/>
                <w:iCs/>
                <w:sz w:val="20"/>
                <w:szCs w:val="20"/>
              </w:rPr>
              <w:t>Affordable Housing Bond Aggregator (AHBA)</w:t>
            </w:r>
          </w:p>
          <w:p w14:paraId="3447B7D5" w14:textId="77777777" w:rsidR="00B764FC" w:rsidRDefault="00B764FC" w:rsidP="00077040">
            <w:pPr>
              <w:pStyle w:val="ListParagraph"/>
              <w:numPr>
                <w:ilvl w:val="0"/>
                <w:numId w:val="4"/>
              </w:numPr>
              <w:ind w:left="567" w:hanging="142"/>
              <w:rPr>
                <w:i/>
                <w:iCs/>
                <w:sz w:val="20"/>
                <w:szCs w:val="20"/>
              </w:rPr>
            </w:pPr>
            <w:r>
              <w:rPr>
                <w:i/>
                <w:iCs/>
                <w:sz w:val="20"/>
                <w:szCs w:val="20"/>
              </w:rPr>
              <w:t>National Rental Affordability Scheme (NRAS)</w:t>
            </w:r>
          </w:p>
          <w:p w14:paraId="3E643ECB" w14:textId="77777777" w:rsidR="00B764FC" w:rsidRDefault="00B764FC" w:rsidP="00077040">
            <w:pPr>
              <w:pStyle w:val="ListParagraph"/>
              <w:numPr>
                <w:ilvl w:val="0"/>
                <w:numId w:val="4"/>
              </w:numPr>
              <w:ind w:left="567" w:hanging="142"/>
              <w:rPr>
                <w:i/>
                <w:iCs/>
                <w:sz w:val="20"/>
                <w:szCs w:val="20"/>
              </w:rPr>
            </w:pPr>
            <w:r>
              <w:rPr>
                <w:i/>
                <w:iCs/>
                <w:sz w:val="20"/>
                <w:szCs w:val="20"/>
              </w:rPr>
              <w:t>Commonwealth Rent Assistance (CRA)</w:t>
            </w:r>
          </w:p>
          <w:p w14:paraId="26C9D87A" w14:textId="77777777" w:rsidR="00B764FC" w:rsidRDefault="00B764FC" w:rsidP="00077040">
            <w:pPr>
              <w:pStyle w:val="ListParagraph"/>
              <w:numPr>
                <w:ilvl w:val="0"/>
                <w:numId w:val="4"/>
              </w:numPr>
              <w:ind w:left="567" w:hanging="142"/>
              <w:rPr>
                <w:i/>
                <w:iCs/>
                <w:color w:val="000000"/>
                <w:sz w:val="20"/>
                <w:szCs w:val="20"/>
              </w:rPr>
            </w:pPr>
            <w:r>
              <w:rPr>
                <w:i/>
                <w:iCs/>
                <w:sz w:val="20"/>
                <w:szCs w:val="20"/>
              </w:rPr>
              <w:t>National Regulatory System for Community Housing</w:t>
            </w:r>
          </w:p>
        </w:tc>
        <w:tc>
          <w:tcPr>
            <w:tcW w:w="2301" w:type="dxa"/>
            <w:tcBorders>
              <w:top w:val="nil"/>
              <w:left w:val="nil"/>
              <w:bottom w:val="nil"/>
              <w:right w:val="nil"/>
            </w:tcBorders>
          </w:tcPr>
          <w:p w14:paraId="288274EC" w14:textId="77777777" w:rsidR="00B764FC" w:rsidRDefault="00B764FC">
            <w:pPr>
              <w:pStyle w:val="ListParagraph"/>
              <w:spacing w:before="240"/>
              <w:ind w:left="567"/>
              <w:rPr>
                <w:i/>
                <w:iCs/>
                <w:sz w:val="20"/>
                <w:szCs w:val="20"/>
                <w:shd w:val="clear" w:color="auto" w:fill="FFFFFF"/>
              </w:rPr>
            </w:pPr>
          </w:p>
          <w:p w14:paraId="2FCC48D8" w14:textId="140A92EA" w:rsidR="00B764FC" w:rsidRDefault="00515EE9" w:rsidP="00077040">
            <w:pPr>
              <w:pStyle w:val="ListParagraph"/>
              <w:numPr>
                <w:ilvl w:val="0"/>
                <w:numId w:val="5"/>
              </w:numPr>
              <w:spacing w:before="240"/>
              <w:ind w:left="567" w:hanging="142"/>
              <w:rPr>
                <w:rStyle w:val="Emphasis"/>
                <w:i/>
                <w:iCs/>
                <w:sz w:val="20"/>
                <w:szCs w:val="20"/>
                <w:shd w:val="clear" w:color="auto" w:fill="FFFFFF"/>
              </w:rPr>
            </w:pPr>
            <w:hyperlink r:id="rId28" w:tgtFrame="_blank" w:history="1">
              <w:r w:rsidR="00B764FC">
                <w:rPr>
                  <w:rStyle w:val="Emphasis"/>
                  <w:i/>
                  <w:iCs/>
                  <w:sz w:val="20"/>
                  <w:szCs w:val="20"/>
                  <w:shd w:val="clear" w:color="auto" w:fill="FFFFFF"/>
                </w:rPr>
                <w:t>Housing Act 1983</w:t>
              </w:r>
            </w:hyperlink>
          </w:p>
          <w:p w14:paraId="4B134868" w14:textId="77777777" w:rsidR="00B764FC" w:rsidRDefault="00B764FC" w:rsidP="00077040">
            <w:pPr>
              <w:pStyle w:val="ListParagraph"/>
              <w:numPr>
                <w:ilvl w:val="0"/>
                <w:numId w:val="5"/>
              </w:numPr>
              <w:ind w:left="567" w:hanging="142"/>
              <w:rPr>
                <w:i/>
                <w:iCs/>
                <w:sz w:val="20"/>
                <w:szCs w:val="20"/>
              </w:rPr>
            </w:pPr>
            <w:r>
              <w:rPr>
                <w:i/>
                <w:iCs/>
                <w:sz w:val="20"/>
                <w:szCs w:val="20"/>
              </w:rPr>
              <w:t>Homes for Victorians</w:t>
            </w:r>
          </w:p>
          <w:p w14:paraId="3DCD91A0" w14:textId="77777777" w:rsidR="00B764FC" w:rsidRDefault="00B764FC" w:rsidP="00077040">
            <w:pPr>
              <w:pStyle w:val="ListParagraph"/>
              <w:numPr>
                <w:ilvl w:val="0"/>
                <w:numId w:val="5"/>
              </w:numPr>
              <w:ind w:left="567" w:hanging="142"/>
              <w:rPr>
                <w:i/>
                <w:iCs/>
                <w:sz w:val="20"/>
                <w:szCs w:val="20"/>
              </w:rPr>
            </w:pPr>
            <w:r>
              <w:rPr>
                <w:i/>
                <w:iCs/>
                <w:sz w:val="20"/>
                <w:szCs w:val="20"/>
              </w:rPr>
              <w:t>Plan Melbourne 2017-2050</w:t>
            </w:r>
          </w:p>
          <w:p w14:paraId="12588AC8" w14:textId="77777777" w:rsidR="00B764FC" w:rsidRDefault="00B764FC" w:rsidP="00077040">
            <w:pPr>
              <w:pStyle w:val="ListParagraph"/>
              <w:numPr>
                <w:ilvl w:val="0"/>
                <w:numId w:val="5"/>
              </w:numPr>
              <w:ind w:left="567" w:hanging="142"/>
              <w:rPr>
                <w:i/>
                <w:iCs/>
                <w:sz w:val="20"/>
                <w:szCs w:val="20"/>
              </w:rPr>
            </w:pPr>
            <w:r>
              <w:rPr>
                <w:i/>
                <w:iCs/>
                <w:sz w:val="20"/>
                <w:szCs w:val="20"/>
              </w:rPr>
              <w:t>Victorian Infrastructure Plan</w:t>
            </w:r>
          </w:p>
          <w:p w14:paraId="69D0E475" w14:textId="77777777" w:rsidR="00B764FC" w:rsidRDefault="00B764FC" w:rsidP="00077040">
            <w:pPr>
              <w:pStyle w:val="ListParagraph"/>
              <w:numPr>
                <w:ilvl w:val="0"/>
                <w:numId w:val="5"/>
              </w:numPr>
              <w:ind w:left="567" w:hanging="142"/>
              <w:rPr>
                <w:sz w:val="20"/>
                <w:szCs w:val="20"/>
              </w:rPr>
            </w:pPr>
            <w:r>
              <w:rPr>
                <w:i/>
                <w:iCs/>
                <w:sz w:val="20"/>
                <w:szCs w:val="20"/>
              </w:rPr>
              <w:t>Planning and Environment Act 1987</w:t>
            </w:r>
          </w:p>
          <w:p w14:paraId="0DD9597D" w14:textId="77777777" w:rsidR="00B764FC" w:rsidRDefault="00B764FC" w:rsidP="00077040">
            <w:pPr>
              <w:pStyle w:val="ListParagraph"/>
              <w:numPr>
                <w:ilvl w:val="0"/>
                <w:numId w:val="5"/>
              </w:numPr>
              <w:ind w:left="567" w:hanging="142"/>
              <w:rPr>
                <w:sz w:val="20"/>
                <w:szCs w:val="20"/>
              </w:rPr>
            </w:pPr>
            <w:r>
              <w:rPr>
                <w:i/>
                <w:iCs/>
                <w:snapToGrid w:val="0"/>
                <w:sz w:val="20"/>
                <w:szCs w:val="20"/>
              </w:rPr>
              <w:t>State Planning Policy Framework (SPPF)</w:t>
            </w:r>
          </w:p>
          <w:p w14:paraId="664AC2FC" w14:textId="77777777" w:rsidR="00B764FC" w:rsidRDefault="00B764FC" w:rsidP="00077040">
            <w:pPr>
              <w:pStyle w:val="ListParagraph"/>
              <w:numPr>
                <w:ilvl w:val="0"/>
                <w:numId w:val="5"/>
              </w:numPr>
              <w:ind w:left="567" w:hanging="142"/>
              <w:rPr>
                <w:i/>
                <w:iCs/>
                <w:color w:val="000000"/>
                <w:sz w:val="20"/>
                <w:szCs w:val="20"/>
              </w:rPr>
            </w:pPr>
            <w:r>
              <w:rPr>
                <w:i/>
                <w:iCs/>
                <w:sz w:val="20"/>
                <w:szCs w:val="20"/>
              </w:rPr>
              <w:t>Ending Family Violence: Victoria’s Plan for Change</w:t>
            </w:r>
          </w:p>
        </w:tc>
        <w:tc>
          <w:tcPr>
            <w:tcW w:w="2301" w:type="dxa"/>
            <w:tcBorders>
              <w:top w:val="nil"/>
              <w:left w:val="nil"/>
              <w:bottom w:val="nil"/>
              <w:right w:val="nil"/>
            </w:tcBorders>
          </w:tcPr>
          <w:p w14:paraId="5D272EB0" w14:textId="77777777" w:rsidR="00B764FC" w:rsidRDefault="00B764FC">
            <w:pPr>
              <w:pStyle w:val="ListParagraph"/>
              <w:ind w:left="567"/>
              <w:rPr>
                <w:i/>
                <w:iCs/>
                <w:sz w:val="20"/>
                <w:szCs w:val="20"/>
              </w:rPr>
            </w:pPr>
          </w:p>
          <w:p w14:paraId="4336FA6B" w14:textId="77777777" w:rsidR="00B764FC" w:rsidRDefault="00B764FC" w:rsidP="00077040">
            <w:pPr>
              <w:pStyle w:val="ListParagraph"/>
              <w:numPr>
                <w:ilvl w:val="0"/>
                <w:numId w:val="6"/>
              </w:numPr>
              <w:ind w:left="567" w:hanging="142"/>
              <w:rPr>
                <w:i/>
                <w:iCs/>
                <w:sz w:val="20"/>
                <w:szCs w:val="20"/>
              </w:rPr>
            </w:pPr>
            <w:r>
              <w:rPr>
                <w:i/>
                <w:iCs/>
                <w:sz w:val="20"/>
                <w:szCs w:val="20"/>
              </w:rPr>
              <w:t>Geelong Region Plan</w:t>
            </w:r>
          </w:p>
          <w:p w14:paraId="2F31A49A" w14:textId="77777777" w:rsidR="00B764FC" w:rsidRDefault="00B764FC" w:rsidP="00077040">
            <w:pPr>
              <w:pStyle w:val="ListParagraph"/>
              <w:numPr>
                <w:ilvl w:val="0"/>
                <w:numId w:val="6"/>
              </w:numPr>
              <w:ind w:left="567" w:hanging="142"/>
              <w:rPr>
                <w:i/>
                <w:iCs/>
                <w:sz w:val="20"/>
                <w:szCs w:val="20"/>
              </w:rPr>
            </w:pPr>
            <w:r>
              <w:rPr>
                <w:i/>
                <w:iCs/>
                <w:sz w:val="20"/>
                <w:szCs w:val="20"/>
              </w:rPr>
              <w:t>G21 Regional Growth Plan (2013)</w:t>
            </w:r>
          </w:p>
          <w:p w14:paraId="1E847799" w14:textId="77777777" w:rsidR="00B764FC" w:rsidRDefault="00B764FC" w:rsidP="00077040">
            <w:pPr>
              <w:pStyle w:val="ListParagraph"/>
              <w:numPr>
                <w:ilvl w:val="0"/>
                <w:numId w:val="6"/>
              </w:numPr>
              <w:ind w:left="567" w:hanging="142"/>
              <w:rPr>
                <w:i/>
                <w:iCs/>
                <w:snapToGrid w:val="0"/>
                <w:sz w:val="20"/>
                <w:szCs w:val="20"/>
              </w:rPr>
            </w:pPr>
            <w:r>
              <w:rPr>
                <w:i/>
                <w:iCs/>
                <w:snapToGrid w:val="0"/>
                <w:sz w:val="20"/>
                <w:szCs w:val="20"/>
              </w:rPr>
              <w:t>Strategic Housing Incentives Action Plan</w:t>
            </w:r>
          </w:p>
          <w:p w14:paraId="5AECDF47" w14:textId="77777777" w:rsidR="00B764FC" w:rsidRDefault="00B764FC" w:rsidP="00077040">
            <w:pPr>
              <w:pStyle w:val="ListParagraph"/>
              <w:numPr>
                <w:ilvl w:val="0"/>
                <w:numId w:val="6"/>
              </w:numPr>
              <w:ind w:left="567" w:hanging="142"/>
              <w:rPr>
                <w:i/>
                <w:iCs/>
                <w:color w:val="000000"/>
                <w:sz w:val="20"/>
                <w:szCs w:val="20"/>
              </w:rPr>
            </w:pPr>
            <w:r>
              <w:rPr>
                <w:i/>
                <w:iCs/>
                <w:sz w:val="20"/>
                <w:szCs w:val="20"/>
              </w:rPr>
              <w:t>Addressing Disadvantage through Affordable Social Housing</w:t>
            </w:r>
          </w:p>
        </w:tc>
        <w:tc>
          <w:tcPr>
            <w:tcW w:w="2301" w:type="dxa"/>
            <w:tcBorders>
              <w:top w:val="nil"/>
              <w:left w:val="nil"/>
              <w:bottom w:val="nil"/>
              <w:right w:val="nil"/>
            </w:tcBorders>
          </w:tcPr>
          <w:p w14:paraId="4C3E978F" w14:textId="77777777" w:rsidR="00B764FC" w:rsidRDefault="00B764FC">
            <w:pPr>
              <w:pStyle w:val="ListParagraph"/>
              <w:ind w:left="567"/>
              <w:rPr>
                <w:i/>
                <w:iCs/>
                <w:sz w:val="20"/>
                <w:szCs w:val="20"/>
              </w:rPr>
            </w:pPr>
          </w:p>
          <w:p w14:paraId="184930F4" w14:textId="77777777" w:rsidR="00B764FC" w:rsidRDefault="00B764FC" w:rsidP="00077040">
            <w:pPr>
              <w:pStyle w:val="ListParagraph"/>
              <w:numPr>
                <w:ilvl w:val="0"/>
                <w:numId w:val="7"/>
              </w:numPr>
              <w:ind w:left="567" w:hanging="142"/>
              <w:rPr>
                <w:i/>
                <w:iCs/>
                <w:sz w:val="20"/>
                <w:szCs w:val="20"/>
              </w:rPr>
            </w:pPr>
            <w:r>
              <w:rPr>
                <w:i/>
                <w:iCs/>
                <w:sz w:val="20"/>
                <w:szCs w:val="20"/>
              </w:rPr>
              <w:t>A Clever and Creative Future – The Community’s Vision</w:t>
            </w:r>
          </w:p>
          <w:p w14:paraId="4AE7B89D" w14:textId="77777777" w:rsidR="00B764FC" w:rsidRDefault="00B764FC" w:rsidP="00077040">
            <w:pPr>
              <w:pStyle w:val="ListParagraph"/>
              <w:numPr>
                <w:ilvl w:val="0"/>
                <w:numId w:val="7"/>
              </w:numPr>
              <w:ind w:left="567" w:hanging="142"/>
              <w:rPr>
                <w:i/>
                <w:iCs/>
                <w:sz w:val="20"/>
                <w:szCs w:val="20"/>
              </w:rPr>
            </w:pPr>
            <w:r>
              <w:rPr>
                <w:i/>
                <w:iCs/>
                <w:sz w:val="20"/>
                <w:szCs w:val="20"/>
              </w:rPr>
              <w:t>Council Plan 2018 – 2022 Putting Our Community First</w:t>
            </w:r>
          </w:p>
          <w:p w14:paraId="36A22CD0" w14:textId="77777777" w:rsidR="00B764FC" w:rsidRDefault="00B764FC" w:rsidP="00077040">
            <w:pPr>
              <w:pStyle w:val="ListParagraph"/>
              <w:numPr>
                <w:ilvl w:val="0"/>
                <w:numId w:val="7"/>
              </w:numPr>
              <w:ind w:left="567" w:hanging="142"/>
              <w:rPr>
                <w:i/>
                <w:iCs/>
                <w:sz w:val="20"/>
                <w:szCs w:val="20"/>
              </w:rPr>
            </w:pPr>
            <w:r>
              <w:rPr>
                <w:i/>
                <w:iCs/>
                <w:sz w:val="20"/>
                <w:szCs w:val="20"/>
              </w:rPr>
              <w:t>Municipal Public Health and Wellbeing Plan 2018 – 2022</w:t>
            </w:r>
          </w:p>
          <w:p w14:paraId="069DEFDF" w14:textId="77777777" w:rsidR="00B764FC" w:rsidRDefault="00B764FC" w:rsidP="00077040">
            <w:pPr>
              <w:pStyle w:val="ListParagraph"/>
              <w:numPr>
                <w:ilvl w:val="0"/>
                <w:numId w:val="7"/>
              </w:numPr>
              <w:ind w:left="567" w:hanging="142"/>
              <w:rPr>
                <w:i/>
                <w:iCs/>
                <w:color w:val="000000"/>
                <w:sz w:val="20"/>
                <w:szCs w:val="20"/>
              </w:rPr>
            </w:pPr>
            <w:r>
              <w:rPr>
                <w:i/>
                <w:iCs/>
                <w:color w:val="000000"/>
                <w:sz w:val="20"/>
                <w:szCs w:val="20"/>
              </w:rPr>
              <w:t>Settlement Strategy</w:t>
            </w:r>
          </w:p>
          <w:p w14:paraId="7407FC59" w14:textId="77777777" w:rsidR="00B764FC" w:rsidRDefault="00B764FC" w:rsidP="00077040">
            <w:pPr>
              <w:pStyle w:val="ListParagraph"/>
              <w:numPr>
                <w:ilvl w:val="0"/>
                <w:numId w:val="7"/>
              </w:numPr>
              <w:ind w:left="567" w:hanging="142"/>
              <w:rPr>
                <w:i/>
                <w:iCs/>
                <w:sz w:val="20"/>
                <w:szCs w:val="20"/>
              </w:rPr>
            </w:pPr>
            <w:r>
              <w:rPr>
                <w:i/>
                <w:iCs/>
                <w:sz w:val="20"/>
                <w:szCs w:val="20"/>
              </w:rPr>
              <w:t>Housing Diversity Strategy</w:t>
            </w:r>
          </w:p>
          <w:p w14:paraId="7168E754" w14:textId="77777777" w:rsidR="00B764FC" w:rsidRDefault="00B764FC" w:rsidP="00077040">
            <w:pPr>
              <w:pStyle w:val="ListParagraph"/>
              <w:numPr>
                <w:ilvl w:val="0"/>
                <w:numId w:val="7"/>
              </w:numPr>
              <w:ind w:left="567" w:hanging="142"/>
              <w:rPr>
                <w:i/>
                <w:iCs/>
                <w:sz w:val="20"/>
                <w:szCs w:val="20"/>
              </w:rPr>
            </w:pPr>
            <w:r>
              <w:rPr>
                <w:i/>
                <w:iCs/>
                <w:sz w:val="20"/>
                <w:szCs w:val="20"/>
              </w:rPr>
              <w:t>Access and Inclusion Plan 2018 – 2022</w:t>
            </w:r>
          </w:p>
          <w:p w14:paraId="607F6B3D" w14:textId="77777777" w:rsidR="00B764FC" w:rsidRDefault="00B764FC" w:rsidP="00077040">
            <w:pPr>
              <w:pStyle w:val="ListParagraph"/>
              <w:numPr>
                <w:ilvl w:val="0"/>
                <w:numId w:val="7"/>
              </w:numPr>
              <w:ind w:left="567" w:hanging="142"/>
              <w:rPr>
                <w:i/>
                <w:iCs/>
                <w:sz w:val="20"/>
                <w:szCs w:val="20"/>
              </w:rPr>
            </w:pPr>
            <w:r>
              <w:rPr>
                <w:i/>
                <w:iCs/>
                <w:sz w:val="20"/>
                <w:szCs w:val="20"/>
              </w:rPr>
              <w:t>Preventing and Addressing Violence Against Women and Children: Strategic Plan 2016 – 2020</w:t>
            </w:r>
          </w:p>
        </w:tc>
      </w:tr>
    </w:tbl>
    <w:p w14:paraId="627D0703" w14:textId="77777777" w:rsidR="00B764FC" w:rsidRDefault="00B764FC">
      <w:pPr>
        <w:ind w:left="567"/>
        <w:rPr>
          <w:b/>
          <w:bCs/>
          <w:color w:val="000000"/>
          <w:sz w:val="28"/>
          <w:szCs w:val="28"/>
        </w:rPr>
      </w:pPr>
    </w:p>
    <w:p w14:paraId="7182F140" w14:textId="77777777" w:rsidR="00B764FC" w:rsidRDefault="00B764FC">
      <w:pPr>
        <w:spacing w:after="120"/>
        <w:rPr>
          <w:rStyle w:val="Strong"/>
          <w:sz w:val="22"/>
          <w:szCs w:val="22"/>
        </w:rPr>
      </w:pPr>
      <w:r>
        <w:rPr>
          <w:rStyle w:val="Strong"/>
          <w:sz w:val="22"/>
          <w:szCs w:val="22"/>
        </w:rPr>
        <w:t>National Housing &amp; Homelessness Agreement</w:t>
      </w:r>
    </w:p>
    <w:p w14:paraId="476E2B6C" w14:textId="77777777" w:rsidR="00B764FC" w:rsidRDefault="00B764FC">
      <w:pPr>
        <w:spacing w:after="240" w:line="276" w:lineRule="auto"/>
        <w:jc w:val="both"/>
      </w:pPr>
      <w:r>
        <w:rPr>
          <w:sz w:val="22"/>
          <w:szCs w:val="22"/>
        </w:rPr>
        <w:t>Under this Agreement the Commonwealth provides funds to the State for social housing and homelessness programs. While recent Agreements have provided some boost for homelessness funding there has been no increase in social housing funding for 20 years. This means that, in real terms, the current value of the Commonwealth investment in social housing is less than a third of what it was at the turn of the century. The key implications of this agreement are:</w:t>
      </w:r>
    </w:p>
    <w:p w14:paraId="68849BC8" w14:textId="77777777" w:rsidR="00B764FC" w:rsidRDefault="00B764FC" w:rsidP="0054190D">
      <w:pPr>
        <w:pStyle w:val="ListParagraph"/>
        <w:numPr>
          <w:ilvl w:val="0"/>
          <w:numId w:val="54"/>
        </w:numPr>
        <w:spacing w:after="240" w:line="276" w:lineRule="auto"/>
        <w:jc w:val="both"/>
      </w:pPr>
      <w:r>
        <w:rPr>
          <w:sz w:val="22"/>
          <w:szCs w:val="22"/>
        </w:rPr>
        <w:t>The Commonwealth does not fund the expansion of the social housing sector with current funding (approximately $1B per annum) being considered an operating subsidy to State Housing authorities for public housing in lieu of the fact that public housing tenants are not eligible for Commonwealth Rent Assistance and therefore public housing rents are insufficient to meet all operating costs</w:t>
      </w:r>
    </w:p>
    <w:p w14:paraId="425947C9" w14:textId="5F699B5B" w:rsidR="00B764FC" w:rsidRDefault="00B764FC" w:rsidP="0054190D">
      <w:pPr>
        <w:pStyle w:val="ListParagraph"/>
        <w:numPr>
          <w:ilvl w:val="0"/>
          <w:numId w:val="54"/>
        </w:numPr>
        <w:spacing w:after="240" w:line="276" w:lineRule="auto"/>
        <w:jc w:val="both"/>
      </w:pPr>
      <w:r>
        <w:rPr>
          <w:sz w:val="22"/>
          <w:szCs w:val="22"/>
        </w:rPr>
        <w:t>The Agreement sets a target for of 35% of all social housing in each jurisdiction to be community housing and the only way for State Housing Authorities to reach this target is through the transfer of public housing to community housing - Victoria has still not reached this target and hence there is ongoing expectations that public housing transfers will continue in Victoria</w:t>
      </w:r>
    </w:p>
    <w:p w14:paraId="7623B4B8" w14:textId="7179DF00" w:rsidR="00B764FC" w:rsidRDefault="00B764FC">
      <w:pPr>
        <w:spacing w:after="240" w:line="276" w:lineRule="auto"/>
        <w:jc w:val="both"/>
        <w:rPr>
          <w:sz w:val="22"/>
          <w:szCs w:val="22"/>
        </w:rPr>
      </w:pPr>
      <w:r>
        <w:rPr>
          <w:rStyle w:val="Strong"/>
          <w:sz w:val="22"/>
          <w:szCs w:val="22"/>
        </w:rPr>
        <w:lastRenderedPageBreak/>
        <w:t xml:space="preserve">Commonwealth Rent Assistance (CRA) - </w:t>
      </w:r>
      <w:r>
        <w:rPr>
          <w:sz w:val="22"/>
          <w:szCs w:val="22"/>
        </w:rPr>
        <w:t xml:space="preserve">The biggest Commonwealth expenditure on housing is through the social security budget – Commonwealth Rent Assistance – at about $4.8M per annum and growing. As noted above CRA is not available to public housing tenants however community housing tenants are eligible for this financial support. </w:t>
      </w:r>
    </w:p>
    <w:p w14:paraId="52D8FAB7" w14:textId="6B6D073F" w:rsidR="00B764FC" w:rsidRDefault="00B764FC">
      <w:pPr>
        <w:spacing w:after="240" w:line="276" w:lineRule="auto"/>
        <w:jc w:val="both"/>
        <w:rPr>
          <w:sz w:val="22"/>
          <w:szCs w:val="22"/>
        </w:rPr>
      </w:pPr>
      <w:r>
        <w:rPr>
          <w:rStyle w:val="Strong"/>
          <w:sz w:val="22"/>
          <w:szCs w:val="22"/>
        </w:rPr>
        <w:t xml:space="preserve">National Rental Affordability Scheme (NRAS) - </w:t>
      </w:r>
      <w:r>
        <w:rPr>
          <w:sz w:val="22"/>
          <w:szCs w:val="22"/>
        </w:rPr>
        <w:t>The National Rental Affordability Scheme was introduced as a 10 year operating subsidy to approved landlords for every dwelling that they provided to eligible tenants at 80% of market rent or less. Approximately 35,000 incentives were allocated before the scheme was discontinued under the Coalition government. However, the bureaucratic structure continues to exist as the incentives allocated still have between 2 and 6 years to run.</w:t>
      </w:r>
    </w:p>
    <w:p w14:paraId="691732B1" w14:textId="77777777" w:rsidR="00B764FC" w:rsidRDefault="00B764FC">
      <w:pPr>
        <w:spacing w:after="240" w:line="276" w:lineRule="auto"/>
        <w:jc w:val="both"/>
        <w:rPr>
          <w:sz w:val="22"/>
          <w:szCs w:val="22"/>
        </w:rPr>
      </w:pPr>
      <w:r>
        <w:rPr>
          <w:sz w:val="22"/>
          <w:szCs w:val="22"/>
        </w:rPr>
        <w:t>The Commonwealth Government, having expressed no interest in renewing the scheme, may find it an attractive mechanism if the decline in residential construction continues and they want to provide a supply stimulus. A key feature of NRAS is that community housing providers are eligible to receive the subsidy for their social housing properties whereas State Housing Authorities cannot access it for new public housing.</w:t>
      </w:r>
    </w:p>
    <w:p w14:paraId="3A00A5F0" w14:textId="77777777" w:rsidR="00B764FC" w:rsidRDefault="00B764FC">
      <w:pPr>
        <w:spacing w:after="240" w:line="276" w:lineRule="auto"/>
        <w:jc w:val="both"/>
        <w:rPr>
          <w:sz w:val="22"/>
          <w:szCs w:val="22"/>
        </w:rPr>
      </w:pPr>
      <w:r>
        <w:rPr>
          <w:rStyle w:val="Strong"/>
          <w:sz w:val="22"/>
          <w:szCs w:val="22"/>
        </w:rPr>
        <w:t xml:space="preserve">National Housing Finance Investment Corporation (NHFIC) - </w:t>
      </w:r>
      <w:r>
        <w:rPr>
          <w:sz w:val="22"/>
          <w:szCs w:val="22"/>
        </w:rPr>
        <w:t>The most recent intervention of the Commonwealth government has been the establishment of the National Housing Finance Investment Corporation. This entity has the capacity to raise bond finance at Commonwealth rates and on lend to support affordable housing via two funds.</w:t>
      </w:r>
    </w:p>
    <w:p w14:paraId="45EAC8C5" w14:textId="77777777" w:rsidR="00B764FC" w:rsidRDefault="00B764FC">
      <w:pPr>
        <w:spacing w:after="240" w:line="276" w:lineRule="auto"/>
        <w:jc w:val="both"/>
        <w:rPr>
          <w:sz w:val="22"/>
          <w:szCs w:val="22"/>
        </w:rPr>
      </w:pPr>
      <w:r>
        <w:rPr>
          <w:rStyle w:val="Strong"/>
          <w:sz w:val="22"/>
          <w:szCs w:val="22"/>
        </w:rPr>
        <w:t xml:space="preserve">National Housing Infrastructure Facility (NHIF) - </w:t>
      </w:r>
      <w:r>
        <w:rPr>
          <w:sz w:val="22"/>
          <w:szCs w:val="22"/>
        </w:rPr>
        <w:t>Under NHIF low cost loans can be made available to local government authorities to borrow funds for vital land infrastructure provided the reduced cost of finance leads directly to the inclusion of affordable housing (including social housing) in the residential development serviced by that infrastructure.</w:t>
      </w:r>
    </w:p>
    <w:p w14:paraId="5B250C93" w14:textId="77777777" w:rsidR="00B764FC" w:rsidRDefault="00B764FC">
      <w:pPr>
        <w:spacing w:after="240" w:line="276" w:lineRule="auto"/>
        <w:jc w:val="both"/>
        <w:rPr>
          <w:sz w:val="22"/>
          <w:szCs w:val="22"/>
        </w:rPr>
      </w:pPr>
      <w:r>
        <w:rPr>
          <w:rStyle w:val="Strong"/>
          <w:sz w:val="22"/>
          <w:szCs w:val="22"/>
        </w:rPr>
        <w:t xml:space="preserve">Affordable Housing Bond Aggregator (AHBA) - </w:t>
      </w:r>
      <w:r>
        <w:rPr>
          <w:sz w:val="22"/>
          <w:szCs w:val="22"/>
        </w:rPr>
        <w:t>Under AHBA low cost loans can be made available directly to Registered Housing Associations to invest in affordable housing (including social housing). In the first 12 months of operation NHFIC has negotiated loans to RHA’s in excess of $350M at approximately 1.75%.</w:t>
      </w:r>
    </w:p>
    <w:p w14:paraId="37604988" w14:textId="77777777" w:rsidR="00B764FC" w:rsidRDefault="00B764FC">
      <w:pPr>
        <w:pStyle w:val="Heading2"/>
      </w:pPr>
      <w:bookmarkStart w:id="145" w:name="_Toc22120193"/>
      <w:r>
        <w:t>10.3 What can the State Government contribute?</w:t>
      </w:r>
      <w:bookmarkEnd w:id="145"/>
    </w:p>
    <w:p w14:paraId="03F1AFFD" w14:textId="77777777" w:rsidR="00B764FC" w:rsidRDefault="00B764FC"/>
    <w:p w14:paraId="69F93E9F" w14:textId="77777777" w:rsidR="00B764FC" w:rsidRDefault="00B764FC">
      <w:pPr>
        <w:spacing w:line="276" w:lineRule="auto"/>
        <w:jc w:val="both"/>
        <w:rPr>
          <w:sz w:val="22"/>
          <w:szCs w:val="22"/>
        </w:rPr>
      </w:pPr>
      <w:r>
        <w:rPr>
          <w:sz w:val="22"/>
          <w:szCs w:val="22"/>
        </w:rPr>
        <w:t xml:space="preserve">The State Government has the constitutional responsibility to plan for and provide housing assistance, including social housing. The Victorian government has assigned this responsibility to the Department of Health &amp; Human Services with the statutory responsibility for social housing being allocated to the Director of Housing. In 2018 the government released a major housing policy platform </w:t>
      </w:r>
      <w:r>
        <w:rPr>
          <w:i/>
          <w:iCs/>
          <w:sz w:val="22"/>
          <w:szCs w:val="22"/>
        </w:rPr>
        <w:t>Home for Victorians</w:t>
      </w:r>
      <w:r>
        <w:rPr>
          <w:sz w:val="22"/>
          <w:szCs w:val="22"/>
        </w:rPr>
        <w:t xml:space="preserve"> which outlined a range of strategies to increase housing supply, improve housing affordability and particularly increase the supply of social housing.</w:t>
      </w:r>
    </w:p>
    <w:p w14:paraId="19E43F11" w14:textId="77777777" w:rsidR="00B764FC" w:rsidRDefault="00B764FC">
      <w:pPr>
        <w:spacing w:line="276" w:lineRule="auto"/>
        <w:jc w:val="both"/>
        <w:rPr>
          <w:sz w:val="22"/>
          <w:szCs w:val="22"/>
        </w:rPr>
      </w:pPr>
    </w:p>
    <w:p w14:paraId="645438D4" w14:textId="77777777" w:rsidR="00B764FC" w:rsidRDefault="00B764FC">
      <w:pPr>
        <w:spacing w:line="276" w:lineRule="auto"/>
        <w:jc w:val="both"/>
        <w:rPr>
          <w:sz w:val="22"/>
          <w:szCs w:val="22"/>
        </w:rPr>
      </w:pPr>
      <w:r>
        <w:rPr>
          <w:sz w:val="22"/>
          <w:szCs w:val="22"/>
        </w:rPr>
        <w:t xml:space="preserve">Key State Government Policy and Legislation that impacts on the provision of social housing and the related implications for the City of Greater Geelong </w:t>
      </w:r>
      <w:r>
        <w:rPr>
          <w:i/>
          <w:iCs/>
          <w:sz w:val="22"/>
          <w:szCs w:val="22"/>
        </w:rPr>
        <w:t>Social Housing Plan</w:t>
      </w:r>
      <w:r>
        <w:rPr>
          <w:sz w:val="22"/>
          <w:szCs w:val="22"/>
        </w:rPr>
        <w:t xml:space="preserve"> are summarised below:</w:t>
      </w:r>
    </w:p>
    <w:p w14:paraId="0E150C10" w14:textId="77777777" w:rsidR="00B764FC" w:rsidRDefault="00B764FC">
      <w:pPr>
        <w:spacing w:line="276" w:lineRule="auto"/>
        <w:jc w:val="both"/>
        <w:rPr>
          <w:sz w:val="22"/>
          <w:szCs w:val="22"/>
        </w:rPr>
      </w:pP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683"/>
        <w:gridCol w:w="3907"/>
        <w:gridCol w:w="3624"/>
      </w:tblGrid>
      <w:tr w:rsidR="00B764FC" w14:paraId="337209EB" w14:textId="77777777" w:rsidTr="00291EB3">
        <w:trPr>
          <w:tblHeader/>
        </w:trPr>
        <w:tc>
          <w:tcPr>
            <w:tcW w:w="1683" w:type="dxa"/>
            <w:tcBorders>
              <w:left w:val="nil"/>
              <w:right w:val="nil"/>
            </w:tcBorders>
            <w:shd w:val="clear" w:color="auto" w:fill="002060"/>
            <w:vAlign w:val="center"/>
          </w:tcPr>
          <w:p w14:paraId="587C7CA1" w14:textId="77777777" w:rsidR="00B764FC" w:rsidRDefault="00B764FC">
            <w:pPr>
              <w:rPr>
                <w:b/>
                <w:bCs/>
                <w:color w:val="FFFFFF"/>
                <w:sz w:val="20"/>
                <w:szCs w:val="20"/>
              </w:rPr>
            </w:pPr>
            <w:r>
              <w:rPr>
                <w:b/>
                <w:bCs/>
                <w:color w:val="FFFFFF"/>
                <w:sz w:val="20"/>
                <w:szCs w:val="20"/>
              </w:rPr>
              <w:lastRenderedPageBreak/>
              <w:t>Relevant Policy/Legislation</w:t>
            </w:r>
          </w:p>
        </w:tc>
        <w:tc>
          <w:tcPr>
            <w:tcW w:w="3907" w:type="dxa"/>
            <w:tcBorders>
              <w:left w:val="nil"/>
              <w:right w:val="nil"/>
            </w:tcBorders>
            <w:shd w:val="clear" w:color="auto" w:fill="002060"/>
            <w:vAlign w:val="center"/>
          </w:tcPr>
          <w:p w14:paraId="3AC61CE2" w14:textId="77777777" w:rsidR="00B764FC" w:rsidRDefault="00B764FC">
            <w:pPr>
              <w:jc w:val="center"/>
              <w:rPr>
                <w:b/>
                <w:bCs/>
                <w:color w:val="FFFFFF"/>
                <w:sz w:val="20"/>
                <w:szCs w:val="20"/>
              </w:rPr>
            </w:pPr>
            <w:r>
              <w:rPr>
                <w:b/>
                <w:bCs/>
                <w:color w:val="FFFFFF"/>
                <w:sz w:val="20"/>
                <w:szCs w:val="20"/>
              </w:rPr>
              <w:t xml:space="preserve">Key Issue for Increasing the Supply of Social Housing </w:t>
            </w:r>
          </w:p>
        </w:tc>
        <w:tc>
          <w:tcPr>
            <w:tcW w:w="3624" w:type="dxa"/>
            <w:tcBorders>
              <w:left w:val="nil"/>
              <w:right w:val="nil"/>
            </w:tcBorders>
            <w:shd w:val="clear" w:color="auto" w:fill="002060"/>
            <w:vAlign w:val="center"/>
          </w:tcPr>
          <w:p w14:paraId="5D4ECF42" w14:textId="5FE12BB1" w:rsidR="00B764FC" w:rsidRDefault="00B764FC">
            <w:pPr>
              <w:jc w:val="center"/>
              <w:rPr>
                <w:b/>
                <w:bCs/>
                <w:color w:val="FFFFFF"/>
                <w:sz w:val="20"/>
                <w:szCs w:val="20"/>
              </w:rPr>
            </w:pPr>
            <w:r>
              <w:rPr>
                <w:b/>
                <w:bCs/>
                <w:color w:val="FFFFFF"/>
                <w:sz w:val="20"/>
                <w:szCs w:val="20"/>
              </w:rPr>
              <w:t xml:space="preserve">Implications for </w:t>
            </w:r>
            <w:r w:rsidR="009135F8">
              <w:rPr>
                <w:b/>
                <w:bCs/>
                <w:color w:val="FFFFFF"/>
                <w:sz w:val="20"/>
                <w:szCs w:val="20"/>
              </w:rPr>
              <w:t>City of Greater Geelong</w:t>
            </w:r>
            <w:r>
              <w:rPr>
                <w:b/>
                <w:bCs/>
                <w:color w:val="FFFFFF"/>
                <w:sz w:val="20"/>
                <w:szCs w:val="20"/>
              </w:rPr>
              <w:t xml:space="preserve"> </w:t>
            </w:r>
            <w:r>
              <w:rPr>
                <w:b/>
                <w:bCs/>
                <w:i/>
                <w:iCs/>
                <w:color w:val="FFFFFF"/>
                <w:sz w:val="20"/>
                <w:szCs w:val="20"/>
              </w:rPr>
              <w:t>Social Housing Plan</w:t>
            </w:r>
          </w:p>
        </w:tc>
      </w:tr>
      <w:tr w:rsidR="00B764FC" w14:paraId="3F57D4F1" w14:textId="77777777">
        <w:tc>
          <w:tcPr>
            <w:tcW w:w="1683" w:type="dxa"/>
            <w:tcBorders>
              <w:left w:val="nil"/>
              <w:right w:val="nil"/>
            </w:tcBorders>
            <w:shd w:val="clear" w:color="auto" w:fill="FFFFFF"/>
            <w:vAlign w:val="center"/>
          </w:tcPr>
          <w:p w14:paraId="38F34846" w14:textId="77777777" w:rsidR="00B764FC" w:rsidRDefault="00B764FC">
            <w:pPr>
              <w:rPr>
                <w:sz w:val="20"/>
                <w:szCs w:val="20"/>
              </w:rPr>
            </w:pPr>
            <w:r>
              <w:rPr>
                <w:rStyle w:val="Strong"/>
                <w:sz w:val="20"/>
                <w:szCs w:val="20"/>
              </w:rPr>
              <w:t>Planning &amp; Environment Act 1987 -  Amendments 2008</w:t>
            </w:r>
          </w:p>
        </w:tc>
        <w:tc>
          <w:tcPr>
            <w:tcW w:w="3907" w:type="dxa"/>
            <w:tcBorders>
              <w:left w:val="nil"/>
              <w:right w:val="nil"/>
            </w:tcBorders>
            <w:shd w:val="clear" w:color="auto" w:fill="FFFFFF"/>
            <w:vAlign w:val="center"/>
          </w:tcPr>
          <w:p w14:paraId="68287F57" w14:textId="77777777" w:rsidR="00B764FC" w:rsidRDefault="00B764FC">
            <w:pPr>
              <w:rPr>
                <w:sz w:val="20"/>
                <w:szCs w:val="20"/>
              </w:rPr>
            </w:pPr>
            <w:r>
              <w:rPr>
                <w:sz w:val="20"/>
                <w:szCs w:val="20"/>
              </w:rPr>
              <w:t>Amendments to the Planning &amp; Environment Act which have been outlined above have opened the door for planning authorities to negotiate the inclusion social housing in new private developments</w:t>
            </w:r>
          </w:p>
        </w:tc>
        <w:tc>
          <w:tcPr>
            <w:tcW w:w="3624" w:type="dxa"/>
            <w:tcBorders>
              <w:left w:val="nil"/>
              <w:right w:val="nil"/>
            </w:tcBorders>
            <w:shd w:val="clear" w:color="auto" w:fill="FFFFFF"/>
            <w:vAlign w:val="center"/>
          </w:tcPr>
          <w:p w14:paraId="74AA2B9B" w14:textId="77777777" w:rsidR="00B764FC" w:rsidRDefault="00B764FC">
            <w:pPr>
              <w:rPr>
                <w:sz w:val="20"/>
                <w:szCs w:val="20"/>
              </w:rPr>
            </w:pPr>
            <w:r>
              <w:rPr>
                <w:sz w:val="20"/>
                <w:szCs w:val="20"/>
              </w:rPr>
              <w:t>While such negotiations remain voluntary it has been estimated that this might result in up to 10% of dwellings in a new development being provided for social housing at approximately 25-30% discount to market value.</w:t>
            </w:r>
          </w:p>
        </w:tc>
      </w:tr>
      <w:tr w:rsidR="00B764FC" w14:paraId="6C5D2498" w14:textId="77777777" w:rsidTr="00354A20">
        <w:tc>
          <w:tcPr>
            <w:tcW w:w="1683" w:type="dxa"/>
            <w:tcBorders>
              <w:left w:val="nil"/>
              <w:right w:val="nil"/>
            </w:tcBorders>
            <w:shd w:val="clear" w:color="auto" w:fill="F2F2F2" w:themeFill="background1" w:themeFillShade="F2"/>
            <w:vAlign w:val="center"/>
          </w:tcPr>
          <w:p w14:paraId="2790F04D" w14:textId="77777777" w:rsidR="00B764FC" w:rsidRDefault="00B764FC">
            <w:pPr>
              <w:rPr>
                <w:sz w:val="20"/>
                <w:szCs w:val="20"/>
              </w:rPr>
            </w:pPr>
            <w:r>
              <w:rPr>
                <w:rStyle w:val="Strong"/>
                <w:sz w:val="20"/>
                <w:szCs w:val="20"/>
              </w:rPr>
              <w:t>Inclusionary Housing</w:t>
            </w:r>
          </w:p>
        </w:tc>
        <w:tc>
          <w:tcPr>
            <w:tcW w:w="3907" w:type="dxa"/>
            <w:tcBorders>
              <w:left w:val="nil"/>
              <w:right w:val="nil"/>
            </w:tcBorders>
            <w:shd w:val="clear" w:color="auto" w:fill="F2F2F2" w:themeFill="background1" w:themeFillShade="F2"/>
            <w:vAlign w:val="center"/>
          </w:tcPr>
          <w:p w14:paraId="7E5F9023" w14:textId="77777777" w:rsidR="00B764FC" w:rsidRDefault="00B764FC">
            <w:pPr>
              <w:rPr>
                <w:sz w:val="20"/>
                <w:szCs w:val="20"/>
              </w:rPr>
            </w:pPr>
            <w:r>
              <w:rPr>
                <w:sz w:val="20"/>
                <w:szCs w:val="20"/>
              </w:rPr>
              <w:t>The State Government has committed to the identification of underutilised and surplus government owned land which can then be fast tracked through the governmental processes for release into the market with a requirement that they include a component of social and affordable housing – usually about 30%.</w:t>
            </w:r>
          </w:p>
        </w:tc>
        <w:tc>
          <w:tcPr>
            <w:tcW w:w="3624" w:type="dxa"/>
            <w:tcBorders>
              <w:left w:val="nil"/>
              <w:right w:val="nil"/>
            </w:tcBorders>
            <w:shd w:val="clear" w:color="auto" w:fill="F2F2F2" w:themeFill="background1" w:themeFillShade="F2"/>
            <w:vAlign w:val="center"/>
          </w:tcPr>
          <w:p w14:paraId="33298A93" w14:textId="77777777" w:rsidR="00B764FC" w:rsidRDefault="00B764FC">
            <w:pPr>
              <w:rPr>
                <w:sz w:val="20"/>
                <w:szCs w:val="20"/>
              </w:rPr>
            </w:pPr>
            <w:r>
              <w:rPr>
                <w:sz w:val="20"/>
                <w:szCs w:val="20"/>
              </w:rPr>
              <w:t>The development of a site in East Geelong by Barwon Water provides an example of how this policy may be enacted - this will require the strong support of Council through the planning process and access to social housing investment finance</w:t>
            </w:r>
          </w:p>
          <w:p w14:paraId="5BB5E69E" w14:textId="77777777" w:rsidR="00B764FC" w:rsidRDefault="00B764FC">
            <w:pPr>
              <w:rPr>
                <w:sz w:val="20"/>
                <w:szCs w:val="20"/>
              </w:rPr>
            </w:pPr>
          </w:p>
        </w:tc>
      </w:tr>
      <w:tr w:rsidR="00B764FC" w14:paraId="79A83603" w14:textId="77777777">
        <w:tc>
          <w:tcPr>
            <w:tcW w:w="1683" w:type="dxa"/>
            <w:tcBorders>
              <w:left w:val="nil"/>
              <w:right w:val="nil"/>
            </w:tcBorders>
            <w:shd w:val="clear" w:color="auto" w:fill="FFFFFF"/>
            <w:vAlign w:val="center"/>
          </w:tcPr>
          <w:p w14:paraId="4C51DC52" w14:textId="77777777" w:rsidR="00B764FC" w:rsidRDefault="00B764FC">
            <w:pPr>
              <w:rPr>
                <w:sz w:val="20"/>
                <w:szCs w:val="20"/>
              </w:rPr>
            </w:pPr>
            <w:r>
              <w:rPr>
                <w:rStyle w:val="Strong"/>
                <w:sz w:val="20"/>
                <w:szCs w:val="20"/>
              </w:rPr>
              <w:t xml:space="preserve">Public Housing Renewal Program </w:t>
            </w:r>
          </w:p>
        </w:tc>
        <w:tc>
          <w:tcPr>
            <w:tcW w:w="3907" w:type="dxa"/>
            <w:tcBorders>
              <w:left w:val="nil"/>
              <w:right w:val="nil"/>
            </w:tcBorders>
            <w:shd w:val="clear" w:color="auto" w:fill="FFFFFF"/>
            <w:vAlign w:val="center"/>
          </w:tcPr>
          <w:p w14:paraId="7B7E0E6D" w14:textId="77777777" w:rsidR="00B764FC" w:rsidRDefault="00B764FC">
            <w:pPr>
              <w:rPr>
                <w:sz w:val="20"/>
                <w:szCs w:val="20"/>
              </w:rPr>
            </w:pPr>
            <w:r>
              <w:rPr>
                <w:sz w:val="20"/>
                <w:szCs w:val="20"/>
              </w:rPr>
              <w:t xml:space="preserve">The Strategy commits $341M to renew and expand public housing with a target of approximately 3,500 new dwellings to replace about 2,500 existing dwellings. This program is primarily focused on ageing public housing estates which have not previously been the subject of Neighbourhood Renewal Schemes such as Corio, Norlane and Whittington. </w:t>
            </w:r>
          </w:p>
          <w:p w14:paraId="2DFC673B" w14:textId="77777777" w:rsidR="00B764FC" w:rsidRDefault="00B764FC">
            <w:pPr>
              <w:rPr>
                <w:sz w:val="20"/>
                <w:szCs w:val="20"/>
              </w:rPr>
            </w:pPr>
          </w:p>
        </w:tc>
        <w:tc>
          <w:tcPr>
            <w:tcW w:w="3624" w:type="dxa"/>
            <w:tcBorders>
              <w:left w:val="nil"/>
              <w:right w:val="nil"/>
            </w:tcBorders>
            <w:shd w:val="clear" w:color="auto" w:fill="FFFFFF"/>
            <w:vAlign w:val="center"/>
          </w:tcPr>
          <w:p w14:paraId="4711112F" w14:textId="77777777" w:rsidR="00B764FC" w:rsidRDefault="00B764FC">
            <w:pPr>
              <w:rPr>
                <w:sz w:val="20"/>
                <w:szCs w:val="20"/>
              </w:rPr>
            </w:pPr>
            <w:r>
              <w:rPr>
                <w:sz w:val="20"/>
                <w:szCs w:val="20"/>
              </w:rPr>
              <w:t>In order to have Geelong’s suburbs with high concentrations of public housing included in this program (and for the funds necessary to complete the urban renewal that been subject to a number of stop-start initiatives) it will be necessary for Council to advocate strongly and offer support in both planning and resourcing renewal strategies</w:t>
            </w:r>
          </w:p>
          <w:p w14:paraId="74CD0E3D" w14:textId="77777777" w:rsidR="00B764FC" w:rsidRDefault="00B764FC">
            <w:pPr>
              <w:rPr>
                <w:sz w:val="20"/>
                <w:szCs w:val="20"/>
              </w:rPr>
            </w:pPr>
          </w:p>
        </w:tc>
      </w:tr>
      <w:tr w:rsidR="00B764FC" w14:paraId="142D7FA2" w14:textId="77777777" w:rsidTr="00354A20">
        <w:tc>
          <w:tcPr>
            <w:tcW w:w="1683" w:type="dxa"/>
            <w:tcBorders>
              <w:left w:val="nil"/>
              <w:right w:val="nil"/>
            </w:tcBorders>
            <w:shd w:val="clear" w:color="auto" w:fill="F2F2F2" w:themeFill="background1" w:themeFillShade="F2"/>
            <w:vAlign w:val="center"/>
          </w:tcPr>
          <w:p w14:paraId="452D1B08" w14:textId="77777777" w:rsidR="00B764FC" w:rsidRDefault="00B764FC">
            <w:pPr>
              <w:rPr>
                <w:sz w:val="20"/>
                <w:szCs w:val="20"/>
              </w:rPr>
            </w:pPr>
            <w:r>
              <w:rPr>
                <w:rStyle w:val="Strong"/>
                <w:sz w:val="20"/>
                <w:szCs w:val="20"/>
              </w:rPr>
              <w:t>Public Housing Stock Transfer</w:t>
            </w:r>
          </w:p>
        </w:tc>
        <w:tc>
          <w:tcPr>
            <w:tcW w:w="3907" w:type="dxa"/>
            <w:tcBorders>
              <w:left w:val="nil"/>
              <w:right w:val="nil"/>
            </w:tcBorders>
            <w:shd w:val="clear" w:color="auto" w:fill="F2F2F2" w:themeFill="background1" w:themeFillShade="F2"/>
            <w:vAlign w:val="center"/>
          </w:tcPr>
          <w:p w14:paraId="6E72EB2E" w14:textId="77777777" w:rsidR="00B764FC" w:rsidRDefault="00B764FC">
            <w:pPr>
              <w:rPr>
                <w:sz w:val="20"/>
                <w:szCs w:val="20"/>
              </w:rPr>
            </w:pPr>
            <w:r>
              <w:rPr>
                <w:sz w:val="20"/>
                <w:szCs w:val="20"/>
              </w:rPr>
              <w:t>The Strategy also commits to the transfer of 4,000 public housing dwellings to Registered Housing Associations under management transfers.</w:t>
            </w:r>
          </w:p>
        </w:tc>
        <w:tc>
          <w:tcPr>
            <w:tcW w:w="3624" w:type="dxa"/>
            <w:tcBorders>
              <w:left w:val="nil"/>
              <w:right w:val="nil"/>
            </w:tcBorders>
            <w:shd w:val="clear" w:color="auto" w:fill="F2F2F2" w:themeFill="background1" w:themeFillShade="F2"/>
            <w:vAlign w:val="center"/>
          </w:tcPr>
          <w:p w14:paraId="49B5256B" w14:textId="77777777" w:rsidR="00B764FC" w:rsidRDefault="00B764FC">
            <w:pPr>
              <w:rPr>
                <w:sz w:val="20"/>
                <w:szCs w:val="20"/>
              </w:rPr>
            </w:pPr>
            <w:r>
              <w:rPr>
                <w:sz w:val="20"/>
                <w:szCs w:val="20"/>
              </w:rPr>
              <w:t>There may be substantial financial and social benefits if public housing in Corio, Norlane and Whittington were included in this transfer, particularly if this transfer was incorporated into a ‘public housing renewal’ program.</w:t>
            </w:r>
          </w:p>
          <w:p w14:paraId="45694E51" w14:textId="77777777" w:rsidR="00B764FC" w:rsidRDefault="00B764FC">
            <w:pPr>
              <w:rPr>
                <w:sz w:val="20"/>
                <w:szCs w:val="20"/>
              </w:rPr>
            </w:pPr>
          </w:p>
          <w:p w14:paraId="73EE4819" w14:textId="15736274" w:rsidR="00B764FC" w:rsidRDefault="00B764FC">
            <w:pPr>
              <w:rPr>
                <w:sz w:val="20"/>
                <w:szCs w:val="20"/>
              </w:rPr>
            </w:pPr>
            <w:r>
              <w:rPr>
                <w:sz w:val="20"/>
                <w:szCs w:val="20"/>
              </w:rPr>
              <w:t xml:space="preserve">However, for this to be negotiated with DHHS it will take concerted effort by </w:t>
            </w:r>
            <w:r w:rsidR="00F9100A">
              <w:rPr>
                <w:sz w:val="20"/>
                <w:szCs w:val="20"/>
              </w:rPr>
              <w:t xml:space="preserve">the City  </w:t>
            </w:r>
            <w:r>
              <w:rPr>
                <w:sz w:val="20"/>
                <w:szCs w:val="20"/>
              </w:rPr>
              <w:t>to communicate the benefits to both the DOH and to the tenants involved.</w:t>
            </w:r>
          </w:p>
          <w:p w14:paraId="1750DCA6" w14:textId="77777777" w:rsidR="00B764FC" w:rsidRDefault="00B764FC">
            <w:pPr>
              <w:rPr>
                <w:sz w:val="20"/>
                <w:szCs w:val="20"/>
              </w:rPr>
            </w:pPr>
          </w:p>
        </w:tc>
      </w:tr>
      <w:tr w:rsidR="00B764FC" w14:paraId="504450BA" w14:textId="77777777">
        <w:tc>
          <w:tcPr>
            <w:tcW w:w="1683" w:type="dxa"/>
            <w:tcBorders>
              <w:left w:val="nil"/>
              <w:right w:val="nil"/>
            </w:tcBorders>
            <w:shd w:val="clear" w:color="auto" w:fill="FFFFFF"/>
            <w:vAlign w:val="center"/>
          </w:tcPr>
          <w:p w14:paraId="30862D97" w14:textId="77777777" w:rsidR="00B764FC" w:rsidRDefault="00B764FC">
            <w:pPr>
              <w:rPr>
                <w:rStyle w:val="Strong"/>
                <w:sz w:val="20"/>
                <w:szCs w:val="20"/>
              </w:rPr>
            </w:pPr>
            <w:r>
              <w:rPr>
                <w:rStyle w:val="Strong"/>
                <w:sz w:val="20"/>
                <w:szCs w:val="20"/>
              </w:rPr>
              <w:t>Social Housing Growth Fund (SHGF)</w:t>
            </w:r>
          </w:p>
          <w:p w14:paraId="268FB520" w14:textId="77777777" w:rsidR="00B764FC" w:rsidRDefault="00B764FC">
            <w:pPr>
              <w:rPr>
                <w:rStyle w:val="Strong"/>
                <w:sz w:val="20"/>
                <w:szCs w:val="20"/>
              </w:rPr>
            </w:pPr>
          </w:p>
        </w:tc>
        <w:tc>
          <w:tcPr>
            <w:tcW w:w="3907" w:type="dxa"/>
            <w:tcBorders>
              <w:left w:val="nil"/>
              <w:right w:val="nil"/>
            </w:tcBorders>
            <w:shd w:val="clear" w:color="auto" w:fill="FFFFFF"/>
            <w:vAlign w:val="center"/>
          </w:tcPr>
          <w:p w14:paraId="72245A19" w14:textId="77777777" w:rsidR="00B764FC" w:rsidRDefault="00B764FC">
            <w:pPr>
              <w:rPr>
                <w:sz w:val="20"/>
                <w:szCs w:val="20"/>
              </w:rPr>
            </w:pPr>
            <w:r>
              <w:rPr>
                <w:sz w:val="20"/>
                <w:szCs w:val="20"/>
              </w:rPr>
              <w:t xml:space="preserve">One of the central planks of </w:t>
            </w:r>
            <w:r>
              <w:rPr>
                <w:i/>
                <w:iCs/>
                <w:sz w:val="20"/>
                <w:szCs w:val="20"/>
              </w:rPr>
              <w:t>Homes for Victorians</w:t>
            </w:r>
            <w:r>
              <w:rPr>
                <w:sz w:val="20"/>
                <w:szCs w:val="20"/>
              </w:rPr>
              <w:t xml:space="preserve"> is the SHGF – a $1B fund established to provide an ongoing revenue stream to fund new social housing through Registered Housing Agencies. While it has been presented as a flexible funding program it is primarily intended that the fund will make long term (up to 30 years) operating subsidies available to Registered Housing Associations to support debt servicing.</w:t>
            </w:r>
          </w:p>
          <w:p w14:paraId="77A16A3D" w14:textId="77777777" w:rsidR="00B764FC" w:rsidRDefault="00B764FC">
            <w:pPr>
              <w:rPr>
                <w:sz w:val="20"/>
                <w:szCs w:val="20"/>
              </w:rPr>
            </w:pPr>
          </w:p>
        </w:tc>
        <w:tc>
          <w:tcPr>
            <w:tcW w:w="3624" w:type="dxa"/>
            <w:tcBorders>
              <w:left w:val="nil"/>
              <w:right w:val="nil"/>
            </w:tcBorders>
            <w:shd w:val="clear" w:color="auto" w:fill="FFFFFF"/>
            <w:vAlign w:val="center"/>
          </w:tcPr>
          <w:p w14:paraId="06759B6D" w14:textId="0694C739" w:rsidR="00B764FC" w:rsidRDefault="00B764FC">
            <w:pPr>
              <w:rPr>
                <w:sz w:val="20"/>
                <w:szCs w:val="20"/>
              </w:rPr>
            </w:pPr>
            <w:r>
              <w:rPr>
                <w:sz w:val="20"/>
                <w:szCs w:val="20"/>
              </w:rPr>
              <w:t xml:space="preserve">If social housing projects in Geelong are to access this subsidy stream then it will be necessary for a Registered Housing Association to present a program of developments demonstrating value to government (i.e. community land or planning contributions) and this will require the leadership and commitment of </w:t>
            </w:r>
            <w:r w:rsidR="00F9100A">
              <w:rPr>
                <w:sz w:val="20"/>
                <w:szCs w:val="20"/>
              </w:rPr>
              <w:t>the City</w:t>
            </w:r>
            <w:r>
              <w:rPr>
                <w:sz w:val="20"/>
                <w:szCs w:val="20"/>
              </w:rPr>
              <w:t>.</w:t>
            </w:r>
          </w:p>
          <w:p w14:paraId="68D86269" w14:textId="77777777" w:rsidR="00B764FC" w:rsidRDefault="00B764FC">
            <w:pPr>
              <w:rPr>
                <w:sz w:val="20"/>
                <w:szCs w:val="20"/>
              </w:rPr>
            </w:pPr>
          </w:p>
        </w:tc>
      </w:tr>
      <w:tr w:rsidR="00B764FC" w14:paraId="7619109F" w14:textId="77777777" w:rsidTr="00354A20">
        <w:tc>
          <w:tcPr>
            <w:tcW w:w="1683" w:type="dxa"/>
            <w:tcBorders>
              <w:left w:val="nil"/>
              <w:right w:val="nil"/>
            </w:tcBorders>
            <w:shd w:val="clear" w:color="auto" w:fill="F2F2F2" w:themeFill="background1" w:themeFillShade="F2"/>
            <w:vAlign w:val="center"/>
          </w:tcPr>
          <w:p w14:paraId="67D9CFB4" w14:textId="77777777" w:rsidR="00B764FC" w:rsidRDefault="00B764FC">
            <w:pPr>
              <w:rPr>
                <w:rStyle w:val="Strong"/>
                <w:sz w:val="20"/>
                <w:szCs w:val="20"/>
              </w:rPr>
            </w:pPr>
            <w:r>
              <w:rPr>
                <w:rStyle w:val="Strong"/>
                <w:sz w:val="20"/>
                <w:szCs w:val="20"/>
              </w:rPr>
              <w:t>Low Cost Loans</w:t>
            </w:r>
          </w:p>
          <w:p w14:paraId="2A0207F4" w14:textId="77777777" w:rsidR="00B764FC" w:rsidRDefault="00B764FC">
            <w:pPr>
              <w:rPr>
                <w:rStyle w:val="Strong"/>
                <w:sz w:val="20"/>
                <w:szCs w:val="20"/>
              </w:rPr>
            </w:pPr>
          </w:p>
        </w:tc>
        <w:tc>
          <w:tcPr>
            <w:tcW w:w="3907" w:type="dxa"/>
            <w:tcBorders>
              <w:left w:val="nil"/>
              <w:right w:val="nil"/>
            </w:tcBorders>
            <w:shd w:val="clear" w:color="auto" w:fill="F2F2F2" w:themeFill="background1" w:themeFillShade="F2"/>
            <w:vAlign w:val="center"/>
          </w:tcPr>
          <w:p w14:paraId="2AF7F422" w14:textId="77777777" w:rsidR="00B764FC" w:rsidRDefault="00B764FC">
            <w:pPr>
              <w:rPr>
                <w:sz w:val="20"/>
                <w:szCs w:val="20"/>
              </w:rPr>
            </w:pPr>
            <w:r>
              <w:rPr>
                <w:sz w:val="20"/>
                <w:szCs w:val="20"/>
              </w:rPr>
              <w:t xml:space="preserve">In order to get the greatest value from the SHGF the Victorian government has also committed to making available $1.1B in low cost loans (similar to NHFIC) to Registered Housing Associations. Half of this will come as direct Treasury Loans while the other half </w:t>
            </w:r>
            <w:r>
              <w:rPr>
                <w:sz w:val="20"/>
                <w:szCs w:val="20"/>
              </w:rPr>
              <w:lastRenderedPageBreak/>
              <w:t>will be via private finance with a state guarantee.</w:t>
            </w:r>
          </w:p>
          <w:p w14:paraId="055D83B0" w14:textId="77777777" w:rsidR="00B764FC" w:rsidRDefault="00B764FC">
            <w:pPr>
              <w:rPr>
                <w:sz w:val="20"/>
                <w:szCs w:val="20"/>
              </w:rPr>
            </w:pPr>
          </w:p>
        </w:tc>
        <w:tc>
          <w:tcPr>
            <w:tcW w:w="3624" w:type="dxa"/>
            <w:tcBorders>
              <w:left w:val="nil"/>
              <w:right w:val="nil"/>
            </w:tcBorders>
            <w:shd w:val="clear" w:color="auto" w:fill="F2F2F2" w:themeFill="background1" w:themeFillShade="F2"/>
            <w:vAlign w:val="center"/>
          </w:tcPr>
          <w:p w14:paraId="6F91A76A" w14:textId="77777777" w:rsidR="00B764FC" w:rsidRDefault="00B764FC">
            <w:pPr>
              <w:rPr>
                <w:sz w:val="20"/>
                <w:szCs w:val="20"/>
              </w:rPr>
            </w:pPr>
            <w:r>
              <w:rPr>
                <w:sz w:val="20"/>
                <w:szCs w:val="20"/>
              </w:rPr>
              <w:lastRenderedPageBreak/>
              <w:t xml:space="preserve">As above - if social housing projects in Geelong are to access this low-cost finance then it will be necessary for a Registered Housing Association to present a program of developments demonstrating value to government (i.e. </w:t>
            </w:r>
            <w:r>
              <w:rPr>
                <w:sz w:val="20"/>
                <w:szCs w:val="20"/>
              </w:rPr>
              <w:lastRenderedPageBreak/>
              <w:t>community land or planning contributions) and appropriate security arrangements and this will require the leadership and commitment of Council.</w:t>
            </w:r>
          </w:p>
          <w:p w14:paraId="41D07B5A" w14:textId="77777777" w:rsidR="00B764FC" w:rsidRDefault="00B764FC">
            <w:pPr>
              <w:rPr>
                <w:sz w:val="20"/>
                <w:szCs w:val="20"/>
              </w:rPr>
            </w:pPr>
          </w:p>
        </w:tc>
      </w:tr>
      <w:tr w:rsidR="00B764FC" w14:paraId="5FF23D6F" w14:textId="77777777">
        <w:tc>
          <w:tcPr>
            <w:tcW w:w="1683" w:type="dxa"/>
            <w:tcBorders>
              <w:left w:val="nil"/>
              <w:right w:val="nil"/>
            </w:tcBorders>
            <w:shd w:val="clear" w:color="auto" w:fill="FFFFFF"/>
            <w:vAlign w:val="center"/>
          </w:tcPr>
          <w:p w14:paraId="3A9F974D" w14:textId="77777777" w:rsidR="00B764FC" w:rsidRDefault="00B764FC">
            <w:pPr>
              <w:rPr>
                <w:rStyle w:val="Strong"/>
                <w:sz w:val="20"/>
                <w:szCs w:val="20"/>
              </w:rPr>
            </w:pPr>
            <w:r>
              <w:rPr>
                <w:rStyle w:val="Strong"/>
                <w:sz w:val="20"/>
                <w:szCs w:val="20"/>
              </w:rPr>
              <w:lastRenderedPageBreak/>
              <w:t>Community Housing Regulatory System</w:t>
            </w:r>
          </w:p>
          <w:p w14:paraId="177C4269" w14:textId="77777777" w:rsidR="00B764FC" w:rsidRDefault="00B764FC">
            <w:pPr>
              <w:rPr>
                <w:rStyle w:val="Strong"/>
                <w:sz w:val="20"/>
                <w:szCs w:val="20"/>
              </w:rPr>
            </w:pPr>
          </w:p>
        </w:tc>
        <w:tc>
          <w:tcPr>
            <w:tcW w:w="3907" w:type="dxa"/>
            <w:tcBorders>
              <w:left w:val="nil"/>
              <w:right w:val="nil"/>
            </w:tcBorders>
            <w:shd w:val="clear" w:color="auto" w:fill="FFFFFF"/>
            <w:vAlign w:val="center"/>
          </w:tcPr>
          <w:p w14:paraId="150C7D08" w14:textId="77777777" w:rsidR="00B764FC" w:rsidRDefault="00B764FC">
            <w:pPr>
              <w:rPr>
                <w:sz w:val="20"/>
                <w:szCs w:val="20"/>
              </w:rPr>
            </w:pPr>
            <w:r>
              <w:rPr>
                <w:sz w:val="20"/>
                <w:szCs w:val="20"/>
              </w:rPr>
              <w:t xml:space="preserve">While pre-dating Homes for Victorian the Victorian government now has a robust regulatory regime for community housing providers. As discussed above the Housing Registrar (established under the Victorian Housing Act) registers and then regulates community housing providers assessing them against 7 performance criteria. </w:t>
            </w:r>
          </w:p>
          <w:p w14:paraId="1B2548F1" w14:textId="77777777" w:rsidR="00B764FC" w:rsidRDefault="00B764FC">
            <w:pPr>
              <w:rPr>
                <w:sz w:val="20"/>
                <w:szCs w:val="20"/>
              </w:rPr>
            </w:pPr>
            <w:r>
              <w:rPr>
                <w:sz w:val="20"/>
                <w:szCs w:val="20"/>
              </w:rPr>
              <w:t>In order to access any form of housing assistance from the Victorian government (and increasingly the Commonwealth government) an organisation must be registered. If that agency is to access programmatic funding (i.e. for a program of social housing projects over an extended [period) then that organisation will have to be registered as a Housing association not a Housing Provider.</w:t>
            </w:r>
          </w:p>
          <w:p w14:paraId="006BFF66" w14:textId="77777777" w:rsidR="00B764FC" w:rsidRDefault="00B764FC">
            <w:pPr>
              <w:rPr>
                <w:sz w:val="20"/>
                <w:szCs w:val="20"/>
              </w:rPr>
            </w:pPr>
          </w:p>
        </w:tc>
        <w:tc>
          <w:tcPr>
            <w:tcW w:w="3624" w:type="dxa"/>
            <w:tcBorders>
              <w:left w:val="nil"/>
              <w:right w:val="nil"/>
            </w:tcBorders>
            <w:shd w:val="clear" w:color="auto" w:fill="FFFFFF"/>
            <w:vAlign w:val="center"/>
          </w:tcPr>
          <w:p w14:paraId="4A31A839" w14:textId="14AB8956" w:rsidR="00B764FC" w:rsidRDefault="00B764FC">
            <w:pPr>
              <w:rPr>
                <w:sz w:val="20"/>
                <w:szCs w:val="20"/>
              </w:rPr>
            </w:pPr>
            <w:r>
              <w:rPr>
                <w:sz w:val="20"/>
                <w:szCs w:val="20"/>
              </w:rPr>
              <w:t xml:space="preserve">This implies that the success of any Social Housing Plan that aims to achieve substantial increase in the supply of social housing it will be imperative for a Housing Association to make Geelong a priority, work collaboratively with </w:t>
            </w:r>
            <w:r w:rsidR="00F9100A">
              <w:rPr>
                <w:sz w:val="20"/>
                <w:szCs w:val="20"/>
              </w:rPr>
              <w:t xml:space="preserve">the City </w:t>
            </w:r>
            <w:r>
              <w:rPr>
                <w:sz w:val="20"/>
                <w:szCs w:val="20"/>
              </w:rPr>
              <w:t>, have an established local presence and become an active participant in the local property market.</w:t>
            </w:r>
          </w:p>
          <w:p w14:paraId="6E0F6713" w14:textId="77777777" w:rsidR="00B764FC" w:rsidRDefault="00B764FC">
            <w:pPr>
              <w:rPr>
                <w:sz w:val="20"/>
                <w:szCs w:val="20"/>
              </w:rPr>
            </w:pPr>
          </w:p>
        </w:tc>
      </w:tr>
      <w:tr w:rsidR="00B764FC" w14:paraId="13BBD375" w14:textId="77777777" w:rsidTr="00354A20">
        <w:tc>
          <w:tcPr>
            <w:tcW w:w="1683" w:type="dxa"/>
            <w:tcBorders>
              <w:left w:val="nil"/>
              <w:right w:val="nil"/>
            </w:tcBorders>
            <w:shd w:val="clear" w:color="auto" w:fill="F2F2F2" w:themeFill="background1" w:themeFillShade="F2"/>
            <w:vAlign w:val="center"/>
          </w:tcPr>
          <w:p w14:paraId="6B2BBD23" w14:textId="77777777" w:rsidR="00B764FC" w:rsidRDefault="00B764FC">
            <w:pPr>
              <w:rPr>
                <w:rStyle w:val="Strong"/>
                <w:sz w:val="20"/>
                <w:szCs w:val="20"/>
              </w:rPr>
            </w:pPr>
            <w:r>
              <w:rPr>
                <w:rStyle w:val="Strong"/>
                <w:sz w:val="20"/>
                <w:szCs w:val="20"/>
              </w:rPr>
              <w:t>Victorian Housing Register</w:t>
            </w:r>
          </w:p>
          <w:p w14:paraId="0803E48D" w14:textId="77777777" w:rsidR="00B764FC" w:rsidRDefault="00B764FC">
            <w:pPr>
              <w:rPr>
                <w:rStyle w:val="Strong"/>
                <w:sz w:val="20"/>
                <w:szCs w:val="20"/>
              </w:rPr>
            </w:pPr>
          </w:p>
        </w:tc>
        <w:tc>
          <w:tcPr>
            <w:tcW w:w="3907" w:type="dxa"/>
            <w:tcBorders>
              <w:left w:val="nil"/>
              <w:right w:val="nil"/>
            </w:tcBorders>
            <w:shd w:val="clear" w:color="auto" w:fill="F2F2F2" w:themeFill="background1" w:themeFillShade="F2"/>
            <w:vAlign w:val="center"/>
          </w:tcPr>
          <w:p w14:paraId="18639A04" w14:textId="77777777" w:rsidR="00B764FC" w:rsidRDefault="00B764FC">
            <w:pPr>
              <w:rPr>
                <w:sz w:val="20"/>
                <w:szCs w:val="20"/>
              </w:rPr>
            </w:pPr>
            <w:r>
              <w:rPr>
                <w:sz w:val="20"/>
                <w:szCs w:val="20"/>
              </w:rPr>
              <w:t>Victoria’s social housing system is geared towards supporting those who are most disadvantaged and unable to maintain suitable and stable housing within the private market.</w:t>
            </w:r>
          </w:p>
          <w:p w14:paraId="4018460C" w14:textId="77777777" w:rsidR="00B764FC" w:rsidRDefault="00B764FC">
            <w:pPr>
              <w:rPr>
                <w:sz w:val="20"/>
                <w:szCs w:val="20"/>
              </w:rPr>
            </w:pPr>
          </w:p>
          <w:p w14:paraId="7E4415D8" w14:textId="77777777" w:rsidR="00B764FC" w:rsidRDefault="00B764FC">
            <w:pPr>
              <w:rPr>
                <w:sz w:val="20"/>
                <w:szCs w:val="20"/>
              </w:rPr>
            </w:pPr>
            <w:r>
              <w:rPr>
                <w:sz w:val="20"/>
                <w:szCs w:val="20"/>
              </w:rPr>
              <w:t xml:space="preserve">This has led to the establishment of a Victorian Housing Register which serves as a common waiting list for social housing from which all public housing and community housing allocations are made. </w:t>
            </w:r>
          </w:p>
          <w:p w14:paraId="1506F75B" w14:textId="77777777" w:rsidR="00B764FC" w:rsidRDefault="00B764FC">
            <w:pPr>
              <w:rPr>
                <w:sz w:val="20"/>
                <w:szCs w:val="20"/>
              </w:rPr>
            </w:pPr>
            <w:r>
              <w:rPr>
                <w:sz w:val="20"/>
                <w:szCs w:val="20"/>
              </w:rPr>
              <w:t>The list has two categories – high priority and wait turn. High priority applicants are generally the clients of the DHHS and have other presenting issues such as family violence, mental health issues, disability. Both public housing and community housing providers are required to tale 75% of their tenants from the priority category.</w:t>
            </w:r>
          </w:p>
        </w:tc>
        <w:tc>
          <w:tcPr>
            <w:tcW w:w="3624" w:type="dxa"/>
            <w:tcBorders>
              <w:left w:val="nil"/>
              <w:right w:val="nil"/>
            </w:tcBorders>
            <w:shd w:val="clear" w:color="auto" w:fill="F2F2F2" w:themeFill="background1" w:themeFillShade="F2"/>
            <w:vAlign w:val="center"/>
          </w:tcPr>
          <w:p w14:paraId="474C2983" w14:textId="13C0617E" w:rsidR="00B764FC" w:rsidRDefault="00B764FC">
            <w:pPr>
              <w:rPr>
                <w:sz w:val="20"/>
                <w:szCs w:val="20"/>
              </w:rPr>
            </w:pPr>
            <w:r>
              <w:rPr>
                <w:sz w:val="20"/>
                <w:szCs w:val="20"/>
              </w:rPr>
              <w:t xml:space="preserve">For </w:t>
            </w:r>
            <w:r w:rsidR="00F9100A">
              <w:rPr>
                <w:sz w:val="20"/>
                <w:szCs w:val="20"/>
              </w:rPr>
              <w:t xml:space="preserve">the City, </w:t>
            </w:r>
            <w:r>
              <w:rPr>
                <w:sz w:val="20"/>
                <w:szCs w:val="20"/>
              </w:rPr>
              <w:t xml:space="preserve">this means that any Registered Housing Association that it engages with in terms of delivering on the objectives of a </w:t>
            </w:r>
            <w:r>
              <w:rPr>
                <w:i/>
                <w:iCs/>
                <w:sz w:val="20"/>
                <w:szCs w:val="20"/>
              </w:rPr>
              <w:t>Social Housing Plan</w:t>
            </w:r>
            <w:r>
              <w:rPr>
                <w:sz w:val="20"/>
                <w:szCs w:val="20"/>
              </w:rPr>
              <w:t xml:space="preserve"> must be a highly competent manager of housing for tenants with a range of special needs.</w:t>
            </w:r>
          </w:p>
          <w:p w14:paraId="4FE15D0E" w14:textId="77777777" w:rsidR="00B764FC" w:rsidRDefault="00B764FC">
            <w:pPr>
              <w:rPr>
                <w:sz w:val="20"/>
                <w:szCs w:val="20"/>
              </w:rPr>
            </w:pPr>
          </w:p>
        </w:tc>
      </w:tr>
    </w:tbl>
    <w:p w14:paraId="27ABDC2A" w14:textId="77777777" w:rsidR="00B764FC" w:rsidRDefault="00B764FC">
      <w:pPr>
        <w:spacing w:line="276" w:lineRule="auto"/>
        <w:jc w:val="both"/>
        <w:rPr>
          <w:sz w:val="22"/>
          <w:szCs w:val="22"/>
        </w:rPr>
      </w:pPr>
      <w:r>
        <w:rPr>
          <w:sz w:val="22"/>
          <w:szCs w:val="22"/>
        </w:rPr>
        <w:t xml:space="preserve"> </w:t>
      </w:r>
    </w:p>
    <w:p w14:paraId="0729F4A1" w14:textId="77777777" w:rsidR="00B764FC" w:rsidRDefault="00B764FC">
      <w:pPr>
        <w:rPr>
          <w:rFonts w:ascii="Circular Std Book" w:hAnsi="Circular Std Book" w:cs="Circular Std Book"/>
          <w:b/>
          <w:bCs/>
          <w:color w:val="808080"/>
        </w:rPr>
      </w:pPr>
      <w:bookmarkStart w:id="146" w:name="_Hlk21604667"/>
      <w:r>
        <w:br w:type="page"/>
      </w:r>
    </w:p>
    <w:p w14:paraId="6F9A6EE5" w14:textId="77777777" w:rsidR="00B764FC" w:rsidRDefault="00B764FC">
      <w:pPr>
        <w:pStyle w:val="Heading2"/>
      </w:pPr>
      <w:bookmarkStart w:id="147" w:name="_Toc22120194"/>
      <w:r>
        <w:lastRenderedPageBreak/>
        <w:t>10.4 What can a Local Government contribute?</w:t>
      </w:r>
      <w:bookmarkEnd w:id="147"/>
    </w:p>
    <w:p w14:paraId="129D400E" w14:textId="3732E5CF" w:rsidR="00B764FC" w:rsidRDefault="00B764FC">
      <w:pPr>
        <w:spacing w:before="240" w:line="276" w:lineRule="auto"/>
        <w:jc w:val="both"/>
        <w:rPr>
          <w:sz w:val="22"/>
          <w:szCs w:val="22"/>
        </w:rPr>
      </w:pPr>
      <w:bookmarkStart w:id="148" w:name="_Ref16182238"/>
      <w:bookmarkEnd w:id="146"/>
      <w:r>
        <w:rPr>
          <w:sz w:val="22"/>
          <w:szCs w:val="22"/>
        </w:rPr>
        <w:t xml:space="preserve">Across Victoria, other Local Government Areas (LGAs) are at various stages in the development of affordable and social housing policies and actions.  All </w:t>
      </w:r>
      <w:r w:rsidR="00F9100A">
        <w:rPr>
          <w:sz w:val="22"/>
          <w:szCs w:val="22"/>
        </w:rPr>
        <w:t xml:space="preserve">LGAs </w:t>
      </w:r>
      <w:r>
        <w:rPr>
          <w:sz w:val="22"/>
          <w:szCs w:val="22"/>
        </w:rPr>
        <w:t xml:space="preserve">express concern about the reduction in housing affordability, and the lack of accommodation options.  Some </w:t>
      </w:r>
      <w:r w:rsidR="00F9100A">
        <w:rPr>
          <w:sz w:val="22"/>
          <w:szCs w:val="22"/>
        </w:rPr>
        <w:t>LGAs</w:t>
      </w:r>
      <w:r>
        <w:rPr>
          <w:sz w:val="22"/>
          <w:szCs w:val="22"/>
        </w:rPr>
        <w:t xml:space="preserve">, particularly the inner metropolitan Melbourne </w:t>
      </w:r>
      <w:r w:rsidR="00F9100A">
        <w:rPr>
          <w:sz w:val="22"/>
          <w:szCs w:val="22"/>
        </w:rPr>
        <w:t>LGAs</w:t>
      </w:r>
      <w:r>
        <w:rPr>
          <w:sz w:val="22"/>
          <w:szCs w:val="22"/>
        </w:rPr>
        <w:t xml:space="preserve">, have been seeking to address the provision of affordable and social housing in their municipality for many years.  </w:t>
      </w:r>
    </w:p>
    <w:p w14:paraId="35AF0C1D" w14:textId="3F9E1E25" w:rsidR="00B764FC" w:rsidRDefault="00B764FC">
      <w:pPr>
        <w:spacing w:before="240" w:line="276" w:lineRule="auto"/>
        <w:jc w:val="both"/>
        <w:rPr>
          <w:sz w:val="22"/>
          <w:szCs w:val="22"/>
        </w:rPr>
      </w:pPr>
      <w:r>
        <w:rPr>
          <w:sz w:val="22"/>
          <w:szCs w:val="22"/>
        </w:rPr>
        <w:t xml:space="preserve">In the inner city this has been exacerbated by gentrification, and a lack of investment in social housing generally.  The focus of these </w:t>
      </w:r>
      <w:r w:rsidR="00F9100A">
        <w:rPr>
          <w:sz w:val="22"/>
          <w:szCs w:val="22"/>
        </w:rPr>
        <w:t xml:space="preserve">LGAs </w:t>
      </w:r>
      <w:r>
        <w:rPr>
          <w:sz w:val="22"/>
          <w:szCs w:val="22"/>
        </w:rPr>
        <w:t xml:space="preserve">is on infill development, and the use of </w:t>
      </w:r>
      <w:r w:rsidR="00F9100A">
        <w:rPr>
          <w:sz w:val="22"/>
          <w:szCs w:val="22"/>
        </w:rPr>
        <w:t xml:space="preserve">LGA </w:t>
      </w:r>
      <w:r>
        <w:rPr>
          <w:sz w:val="22"/>
          <w:szCs w:val="22"/>
        </w:rPr>
        <w:t xml:space="preserve">land (and air space).  </w:t>
      </w:r>
    </w:p>
    <w:p w14:paraId="177082C3" w14:textId="77777777" w:rsidR="00B764FC" w:rsidRDefault="00B764FC">
      <w:pPr>
        <w:spacing w:line="276" w:lineRule="auto"/>
        <w:ind w:left="284"/>
        <w:jc w:val="both"/>
        <w:rPr>
          <w:sz w:val="22"/>
          <w:szCs w:val="22"/>
        </w:rPr>
      </w:pPr>
    </w:p>
    <w:p w14:paraId="52553E97" w14:textId="2FF7491C" w:rsidR="008A636D" w:rsidRDefault="00B764FC">
      <w:pPr>
        <w:spacing w:line="276" w:lineRule="auto"/>
        <w:jc w:val="both"/>
        <w:rPr>
          <w:sz w:val="22"/>
          <w:szCs w:val="22"/>
        </w:rPr>
      </w:pPr>
      <w:bookmarkStart w:id="149" w:name="_Hlk21604613"/>
      <w:r>
        <w:rPr>
          <w:sz w:val="22"/>
          <w:szCs w:val="22"/>
        </w:rPr>
        <w:t xml:space="preserve">Outer </w:t>
      </w:r>
      <w:r w:rsidR="00F9100A">
        <w:rPr>
          <w:sz w:val="22"/>
          <w:szCs w:val="22"/>
        </w:rPr>
        <w:t xml:space="preserve">LGAs </w:t>
      </w:r>
      <w:r>
        <w:rPr>
          <w:sz w:val="22"/>
          <w:szCs w:val="22"/>
        </w:rPr>
        <w:t>in growth areas such as Cardinia Shire Council and Whittlesea City Council are planning for considerable population growth over the next 20 years, associated with new broad hectare development.  As a result, there are different emphases revealed in planning documents</w:t>
      </w:r>
      <w:r w:rsidR="00430BDF">
        <w:rPr>
          <w:sz w:val="22"/>
          <w:szCs w:val="22"/>
        </w:rPr>
        <w:t>.</w:t>
      </w:r>
    </w:p>
    <w:p w14:paraId="2B4F1933" w14:textId="2650D194" w:rsidR="00430BDF" w:rsidRPr="009135F8" w:rsidRDefault="00430BDF" w:rsidP="00077040">
      <w:pPr>
        <w:jc w:val="both"/>
        <w:rPr>
          <w:rFonts w:eastAsia="Times New Roman"/>
          <w:sz w:val="22"/>
          <w:szCs w:val="22"/>
        </w:rPr>
      </w:pPr>
      <w:r w:rsidRPr="009135F8">
        <w:rPr>
          <w:rFonts w:eastAsia="Times New Roman"/>
          <w:sz w:val="22"/>
          <w:szCs w:val="22"/>
        </w:rPr>
        <w:t xml:space="preserve">Outer </w:t>
      </w:r>
      <w:r w:rsidR="00F9100A">
        <w:rPr>
          <w:rFonts w:eastAsia="Times New Roman"/>
          <w:sz w:val="22"/>
          <w:szCs w:val="22"/>
        </w:rPr>
        <w:t>LGAs</w:t>
      </w:r>
      <w:r w:rsidR="00F9100A" w:rsidRPr="009135F8">
        <w:rPr>
          <w:rFonts w:eastAsia="Times New Roman"/>
          <w:sz w:val="22"/>
          <w:szCs w:val="22"/>
        </w:rPr>
        <w:t xml:space="preserve"> </w:t>
      </w:r>
      <w:r w:rsidRPr="009135F8">
        <w:rPr>
          <w:rFonts w:eastAsia="Times New Roman"/>
          <w:sz w:val="22"/>
          <w:szCs w:val="22"/>
        </w:rPr>
        <w:t xml:space="preserve">may have greater opportunities to include consideration of social and affordable housing when re-zoning occurs.  In addition, homelessness and risk of homelessness is more likely to be ‘hidden’, and experienced as rental and mortgage stress, possibly compounded by lack of transport and social infrastructure.  As a result Outer </w:t>
      </w:r>
      <w:r w:rsidR="00F9100A">
        <w:rPr>
          <w:rFonts w:eastAsia="Times New Roman"/>
          <w:sz w:val="22"/>
          <w:szCs w:val="22"/>
        </w:rPr>
        <w:t>LGAs</w:t>
      </w:r>
      <w:r w:rsidR="00F9100A" w:rsidRPr="009135F8">
        <w:rPr>
          <w:rFonts w:eastAsia="Times New Roman"/>
          <w:sz w:val="22"/>
          <w:szCs w:val="22"/>
        </w:rPr>
        <w:t xml:space="preserve"> </w:t>
      </w:r>
      <w:r w:rsidRPr="009135F8">
        <w:rPr>
          <w:rFonts w:eastAsia="Times New Roman"/>
          <w:sz w:val="22"/>
          <w:szCs w:val="22"/>
        </w:rPr>
        <w:t>are particularly concerned with planning the provision of adequate infrastructure, as well as housing diversity, and the creation of new communities which are healthy, inclusive, and which have access to employment.</w:t>
      </w:r>
    </w:p>
    <w:bookmarkEnd w:id="149"/>
    <w:p w14:paraId="0873C163" w14:textId="77777777" w:rsidR="00B764FC" w:rsidRDefault="00B764FC" w:rsidP="00354A20">
      <w:pPr>
        <w:spacing w:line="276" w:lineRule="auto"/>
        <w:jc w:val="both"/>
        <w:rPr>
          <w:sz w:val="22"/>
          <w:szCs w:val="22"/>
        </w:rPr>
      </w:pPr>
    </w:p>
    <w:p w14:paraId="5BCE97AE" w14:textId="554A56C7" w:rsidR="00B764FC" w:rsidRDefault="00B764FC">
      <w:pPr>
        <w:spacing w:after="240" w:line="276" w:lineRule="auto"/>
        <w:jc w:val="both"/>
        <w:rPr>
          <w:sz w:val="22"/>
          <w:szCs w:val="22"/>
        </w:rPr>
      </w:pPr>
      <w:r>
        <w:rPr>
          <w:sz w:val="22"/>
          <w:szCs w:val="22"/>
        </w:rPr>
        <w:t xml:space="preserve">Generally, however, all </w:t>
      </w:r>
      <w:r w:rsidR="00F9100A">
        <w:rPr>
          <w:sz w:val="22"/>
          <w:szCs w:val="22"/>
        </w:rPr>
        <w:t xml:space="preserve">LGA </w:t>
      </w:r>
      <w:r>
        <w:rPr>
          <w:sz w:val="22"/>
          <w:szCs w:val="22"/>
        </w:rPr>
        <w:t xml:space="preserve">plans indicate the following potential roles for </w:t>
      </w:r>
      <w:r w:rsidR="00F9100A">
        <w:rPr>
          <w:sz w:val="22"/>
          <w:szCs w:val="22"/>
        </w:rPr>
        <w:t xml:space="preserve">LGAs </w:t>
      </w:r>
      <w:r>
        <w:rPr>
          <w:sz w:val="22"/>
          <w:szCs w:val="22"/>
        </w:rPr>
        <w:t>in the provision of affordable and social housing:</w:t>
      </w:r>
    </w:p>
    <w:p w14:paraId="1F9DC834" w14:textId="77777777" w:rsidR="00B764FC" w:rsidRDefault="00B764FC" w:rsidP="00077040">
      <w:pPr>
        <w:pStyle w:val="Bullets"/>
        <w:numPr>
          <w:ilvl w:val="0"/>
          <w:numId w:val="37"/>
        </w:numPr>
        <w:spacing w:before="0" w:line="276" w:lineRule="auto"/>
        <w:ind w:left="709"/>
        <w:rPr>
          <w:sz w:val="22"/>
          <w:szCs w:val="22"/>
        </w:rPr>
      </w:pPr>
      <w:r>
        <w:rPr>
          <w:sz w:val="22"/>
          <w:szCs w:val="22"/>
        </w:rPr>
        <w:t>Advocacy and leadership</w:t>
      </w:r>
    </w:p>
    <w:p w14:paraId="03162C24" w14:textId="77777777" w:rsidR="00B764FC" w:rsidRDefault="00B764FC" w:rsidP="00077040">
      <w:pPr>
        <w:pStyle w:val="Bullets"/>
        <w:numPr>
          <w:ilvl w:val="0"/>
          <w:numId w:val="37"/>
        </w:numPr>
        <w:spacing w:before="0" w:line="276" w:lineRule="auto"/>
        <w:ind w:left="709"/>
        <w:rPr>
          <w:sz w:val="22"/>
          <w:szCs w:val="22"/>
        </w:rPr>
      </w:pPr>
      <w:r>
        <w:rPr>
          <w:sz w:val="22"/>
          <w:szCs w:val="22"/>
        </w:rPr>
        <w:t>Investment</w:t>
      </w:r>
    </w:p>
    <w:p w14:paraId="04A80BDE" w14:textId="77777777" w:rsidR="00B764FC" w:rsidRDefault="00B764FC" w:rsidP="00077040">
      <w:pPr>
        <w:pStyle w:val="Bullets"/>
        <w:numPr>
          <w:ilvl w:val="0"/>
          <w:numId w:val="37"/>
        </w:numPr>
        <w:spacing w:before="0" w:line="276" w:lineRule="auto"/>
        <w:ind w:left="709"/>
        <w:rPr>
          <w:sz w:val="22"/>
          <w:szCs w:val="22"/>
        </w:rPr>
      </w:pPr>
      <w:r>
        <w:rPr>
          <w:sz w:val="22"/>
          <w:szCs w:val="22"/>
        </w:rPr>
        <w:t>Land use planning</w:t>
      </w:r>
    </w:p>
    <w:p w14:paraId="3DDBEC43" w14:textId="77777777" w:rsidR="00B764FC" w:rsidRDefault="00B764FC" w:rsidP="00077040">
      <w:pPr>
        <w:pStyle w:val="Bullets"/>
        <w:numPr>
          <w:ilvl w:val="0"/>
          <w:numId w:val="37"/>
        </w:numPr>
        <w:spacing w:before="0" w:line="276" w:lineRule="auto"/>
        <w:ind w:left="709"/>
        <w:rPr>
          <w:sz w:val="22"/>
          <w:szCs w:val="22"/>
        </w:rPr>
      </w:pPr>
      <w:r>
        <w:rPr>
          <w:sz w:val="22"/>
          <w:szCs w:val="22"/>
        </w:rPr>
        <w:t>Social planning and action</w:t>
      </w:r>
    </w:p>
    <w:p w14:paraId="3903A20B" w14:textId="77777777" w:rsidR="00B764FC" w:rsidRDefault="00B764FC" w:rsidP="00077040">
      <w:pPr>
        <w:pStyle w:val="Bullets"/>
        <w:numPr>
          <w:ilvl w:val="0"/>
          <w:numId w:val="37"/>
        </w:numPr>
        <w:spacing w:before="0" w:line="276" w:lineRule="auto"/>
        <w:ind w:left="709"/>
        <w:rPr>
          <w:sz w:val="22"/>
          <w:szCs w:val="22"/>
        </w:rPr>
      </w:pPr>
      <w:r>
        <w:rPr>
          <w:sz w:val="22"/>
          <w:szCs w:val="22"/>
        </w:rPr>
        <w:t>Community development</w:t>
      </w:r>
      <w:r>
        <w:rPr>
          <w:rStyle w:val="FootnoteReference"/>
          <w:sz w:val="22"/>
          <w:szCs w:val="22"/>
        </w:rPr>
        <w:footnoteReference w:id="22"/>
      </w:r>
    </w:p>
    <w:p w14:paraId="5B6C5723" w14:textId="77777777" w:rsidR="00B764FC" w:rsidRDefault="00B764FC">
      <w:pPr>
        <w:rPr>
          <w:sz w:val="22"/>
          <w:szCs w:val="22"/>
        </w:rPr>
      </w:pPr>
    </w:p>
    <w:p w14:paraId="6657BD11" w14:textId="77777777" w:rsidR="00B764FC" w:rsidRDefault="00B764FC">
      <w:pPr>
        <w:spacing w:after="240" w:line="276" w:lineRule="auto"/>
        <w:jc w:val="both"/>
        <w:rPr>
          <w:sz w:val="22"/>
          <w:szCs w:val="22"/>
        </w:rPr>
      </w:pPr>
      <w:r>
        <w:rPr>
          <w:sz w:val="22"/>
          <w:szCs w:val="22"/>
        </w:rPr>
        <w:t>In terms of investment in social housing the principle mechanisms are:</w:t>
      </w:r>
    </w:p>
    <w:p w14:paraId="4EFD2FD5" w14:textId="77777777" w:rsidR="00B764FC" w:rsidRDefault="00B764FC" w:rsidP="0054190D">
      <w:pPr>
        <w:pStyle w:val="ListParagraph"/>
        <w:numPr>
          <w:ilvl w:val="0"/>
          <w:numId w:val="55"/>
        </w:numPr>
        <w:spacing w:line="276" w:lineRule="auto"/>
        <w:jc w:val="both"/>
        <w:rPr>
          <w:sz w:val="22"/>
          <w:szCs w:val="22"/>
        </w:rPr>
      </w:pPr>
      <w:r>
        <w:rPr>
          <w:sz w:val="22"/>
          <w:szCs w:val="22"/>
        </w:rPr>
        <w:t>Small Council owned land (including air rights above car parks and community facilities) transferred to a Registered Housing Agency for development as social housing</w:t>
      </w:r>
    </w:p>
    <w:p w14:paraId="6220E57A" w14:textId="77777777" w:rsidR="00B764FC" w:rsidRDefault="00B764FC" w:rsidP="0054190D">
      <w:pPr>
        <w:pStyle w:val="ListParagraph"/>
        <w:numPr>
          <w:ilvl w:val="0"/>
          <w:numId w:val="55"/>
        </w:numPr>
        <w:spacing w:line="276" w:lineRule="auto"/>
        <w:jc w:val="both"/>
        <w:rPr>
          <w:sz w:val="22"/>
          <w:szCs w:val="22"/>
        </w:rPr>
      </w:pPr>
      <w:r>
        <w:rPr>
          <w:sz w:val="22"/>
          <w:szCs w:val="22"/>
        </w:rPr>
        <w:t>Larger Council owned sites put to the market for development with a required outcome for a certain yield of social housing – this will generally require a proponent to be a joint venture between a private developer and a Registered Housing agency</w:t>
      </w:r>
    </w:p>
    <w:p w14:paraId="23107721" w14:textId="77777777" w:rsidR="00B764FC" w:rsidRDefault="00B764FC" w:rsidP="0054190D">
      <w:pPr>
        <w:pStyle w:val="ListParagraph"/>
        <w:numPr>
          <w:ilvl w:val="0"/>
          <w:numId w:val="55"/>
        </w:numPr>
        <w:spacing w:line="276" w:lineRule="auto"/>
        <w:jc w:val="both"/>
        <w:rPr>
          <w:sz w:val="22"/>
          <w:szCs w:val="22"/>
        </w:rPr>
      </w:pPr>
      <w:r>
        <w:rPr>
          <w:sz w:val="22"/>
          <w:szCs w:val="22"/>
        </w:rPr>
        <w:t>Site specific planning controls to guide negotiations for voluntary contributions from private developers to social housing either by way of land assignment to a registered Housing agency or cash contributions to a social housing fund</w:t>
      </w:r>
    </w:p>
    <w:p w14:paraId="49B6DF7D" w14:textId="77777777" w:rsidR="00B764FC" w:rsidRDefault="00B764FC" w:rsidP="0054190D">
      <w:pPr>
        <w:pStyle w:val="ListParagraph"/>
        <w:numPr>
          <w:ilvl w:val="0"/>
          <w:numId w:val="55"/>
        </w:numPr>
        <w:spacing w:line="276" w:lineRule="auto"/>
        <w:jc w:val="both"/>
        <w:rPr>
          <w:sz w:val="22"/>
          <w:szCs w:val="22"/>
        </w:rPr>
      </w:pPr>
      <w:r>
        <w:rPr>
          <w:sz w:val="22"/>
          <w:szCs w:val="22"/>
        </w:rPr>
        <w:lastRenderedPageBreak/>
        <w:t>In a limited number of cases LGAs may make an annual budget commitment to a locally based social housing fund to enable a Registered Housing Agency to leverage State Government contributions to locally based social housing projects</w:t>
      </w:r>
    </w:p>
    <w:p w14:paraId="07A8A896" w14:textId="77777777" w:rsidR="00B764FC" w:rsidRDefault="00B764FC">
      <w:pPr>
        <w:ind w:left="720"/>
        <w:rPr>
          <w:sz w:val="22"/>
          <w:szCs w:val="22"/>
        </w:rPr>
      </w:pPr>
    </w:p>
    <w:p w14:paraId="6C5844BA" w14:textId="12E3D2D6" w:rsidR="00B764FC" w:rsidRDefault="00B764FC">
      <w:pPr>
        <w:pStyle w:val="Heading2"/>
      </w:pPr>
      <w:bookmarkStart w:id="150" w:name="_Toc22120195"/>
      <w:r>
        <w:t xml:space="preserve">10.5 </w:t>
      </w:r>
      <w:r w:rsidR="00354A20">
        <w:t>Benefits</w:t>
      </w:r>
      <w:r>
        <w:t xml:space="preserve"> of working with a Registered Housing Association </w:t>
      </w:r>
      <w:r w:rsidR="00354A20">
        <w:t xml:space="preserve">– </w:t>
      </w:r>
      <w:r w:rsidR="00291EB3">
        <w:br/>
        <w:t xml:space="preserve">        </w:t>
      </w:r>
      <w:r w:rsidR="00354A20">
        <w:t>lessons fr</w:t>
      </w:r>
      <w:r w:rsidR="00BC731D">
        <w:t>om</w:t>
      </w:r>
      <w:r w:rsidR="00354A20">
        <w:t xml:space="preserve"> other LGA’s</w:t>
      </w:r>
      <w:bookmarkEnd w:id="150"/>
    </w:p>
    <w:p w14:paraId="1151834B" w14:textId="77777777" w:rsidR="00B764FC" w:rsidRDefault="00B764FC"/>
    <w:p w14:paraId="7F268120" w14:textId="77777777" w:rsidR="00B764FC" w:rsidRDefault="00B764FC">
      <w:pPr>
        <w:spacing w:after="240" w:line="276" w:lineRule="auto"/>
        <w:jc w:val="both"/>
        <w:rPr>
          <w:sz w:val="22"/>
          <w:szCs w:val="22"/>
        </w:rPr>
      </w:pPr>
      <w:r>
        <w:rPr>
          <w:sz w:val="22"/>
          <w:szCs w:val="22"/>
        </w:rPr>
        <w:t xml:space="preserve">In order to access the State and Commonwealth finance and subsidies required to implement </w:t>
      </w:r>
      <w:r>
        <w:rPr>
          <w:i/>
          <w:iCs/>
          <w:sz w:val="22"/>
          <w:szCs w:val="22"/>
        </w:rPr>
        <w:t>a Social Housing Growth Strategy</w:t>
      </w:r>
      <w:r>
        <w:rPr>
          <w:sz w:val="22"/>
          <w:szCs w:val="22"/>
        </w:rPr>
        <w:t xml:space="preserve"> that aims to achieve the levels of social housing needed in Geelong, it is clear that Council will have to engage with the Registered Housing Agency sector.</w:t>
      </w:r>
    </w:p>
    <w:p w14:paraId="0334A143" w14:textId="03824C78" w:rsidR="00B764FC" w:rsidRDefault="00B764FC">
      <w:pPr>
        <w:spacing w:after="240" w:line="276" w:lineRule="auto"/>
        <w:jc w:val="both"/>
        <w:rPr>
          <w:sz w:val="22"/>
          <w:szCs w:val="22"/>
        </w:rPr>
      </w:pPr>
      <w:r>
        <w:rPr>
          <w:sz w:val="22"/>
          <w:szCs w:val="22"/>
        </w:rPr>
        <w:t xml:space="preserve">In Victoria </w:t>
      </w:r>
      <w:r>
        <w:rPr>
          <w:b/>
          <w:bCs/>
          <w:sz w:val="22"/>
          <w:szCs w:val="22"/>
        </w:rPr>
        <w:t xml:space="preserve">Registered Housing Associations have significant financial </w:t>
      </w:r>
      <w:r w:rsidR="000D6FCB">
        <w:rPr>
          <w:b/>
          <w:bCs/>
          <w:sz w:val="22"/>
          <w:szCs w:val="22"/>
        </w:rPr>
        <w:t>advantages:</w:t>
      </w:r>
    </w:p>
    <w:p w14:paraId="151B4BE7" w14:textId="77777777" w:rsidR="00B764FC" w:rsidRDefault="00B764FC" w:rsidP="0054190D">
      <w:pPr>
        <w:pStyle w:val="ListParagraph"/>
        <w:numPr>
          <w:ilvl w:val="0"/>
          <w:numId w:val="56"/>
        </w:numPr>
        <w:spacing w:line="276" w:lineRule="auto"/>
        <w:jc w:val="both"/>
        <w:rPr>
          <w:sz w:val="22"/>
          <w:szCs w:val="22"/>
        </w:rPr>
      </w:pPr>
      <w:r>
        <w:rPr>
          <w:sz w:val="22"/>
          <w:szCs w:val="22"/>
        </w:rPr>
        <w:t>As Tax Concession Charities with public benevolent Institution status they have access to tax deductible donations (including philanthropic funds).</w:t>
      </w:r>
    </w:p>
    <w:p w14:paraId="533B981D" w14:textId="77777777" w:rsidR="00B764FC" w:rsidRDefault="00B764FC" w:rsidP="0054190D">
      <w:pPr>
        <w:pStyle w:val="ListParagraph"/>
        <w:numPr>
          <w:ilvl w:val="0"/>
          <w:numId w:val="56"/>
        </w:numPr>
        <w:spacing w:line="276" w:lineRule="auto"/>
        <w:jc w:val="both"/>
        <w:rPr>
          <w:sz w:val="22"/>
          <w:szCs w:val="22"/>
        </w:rPr>
      </w:pPr>
      <w:r>
        <w:rPr>
          <w:sz w:val="22"/>
          <w:szCs w:val="22"/>
        </w:rPr>
        <w:t>Their charitable status also provides a range of other tax exemptions including Income Tax, Stamp Duty, Land Tax, Payroll Tax, and Fringe Benefits Tax.</w:t>
      </w:r>
    </w:p>
    <w:p w14:paraId="30476E0C" w14:textId="77777777" w:rsidR="00B764FC" w:rsidRDefault="00B764FC" w:rsidP="0054190D">
      <w:pPr>
        <w:pStyle w:val="ListParagraph"/>
        <w:numPr>
          <w:ilvl w:val="0"/>
          <w:numId w:val="56"/>
        </w:numPr>
        <w:spacing w:line="276" w:lineRule="auto"/>
        <w:jc w:val="both"/>
        <w:rPr>
          <w:sz w:val="22"/>
          <w:szCs w:val="22"/>
        </w:rPr>
      </w:pPr>
      <w:r>
        <w:rPr>
          <w:sz w:val="22"/>
          <w:szCs w:val="22"/>
        </w:rPr>
        <w:t>Subject to charging rents that are less than 75% of market rent they qualify as a GST free supply are eligible for a GST Rebate on all inputs – this reduces the cost of development by about 9.1%.</w:t>
      </w:r>
    </w:p>
    <w:p w14:paraId="3F559036" w14:textId="77777777" w:rsidR="00B764FC" w:rsidRDefault="00B764FC" w:rsidP="0054190D">
      <w:pPr>
        <w:pStyle w:val="ListParagraph"/>
        <w:numPr>
          <w:ilvl w:val="0"/>
          <w:numId w:val="56"/>
        </w:numPr>
        <w:spacing w:line="276" w:lineRule="auto"/>
        <w:jc w:val="both"/>
        <w:rPr>
          <w:sz w:val="22"/>
          <w:szCs w:val="22"/>
        </w:rPr>
      </w:pPr>
      <w:r>
        <w:rPr>
          <w:sz w:val="22"/>
          <w:szCs w:val="22"/>
        </w:rPr>
        <w:t>They are eligible for project grant funding from programs such as the Victorian Property Fund and any other State government capital funding programs.</w:t>
      </w:r>
    </w:p>
    <w:p w14:paraId="508A36E4" w14:textId="77777777" w:rsidR="00B764FC" w:rsidRDefault="00B764FC" w:rsidP="0054190D">
      <w:pPr>
        <w:pStyle w:val="ListParagraph"/>
        <w:numPr>
          <w:ilvl w:val="0"/>
          <w:numId w:val="56"/>
        </w:numPr>
        <w:spacing w:line="276" w:lineRule="auto"/>
        <w:jc w:val="both"/>
        <w:rPr>
          <w:sz w:val="22"/>
          <w:szCs w:val="22"/>
        </w:rPr>
      </w:pPr>
      <w:r>
        <w:rPr>
          <w:sz w:val="22"/>
          <w:szCs w:val="22"/>
        </w:rPr>
        <w:t>They are eligible for public housing stock transfer which can generate additional revenue which can underpin reinvestment in the public housing stock as well community development activities which address community capacity.</w:t>
      </w:r>
    </w:p>
    <w:p w14:paraId="6168A969" w14:textId="77777777" w:rsidR="00B764FC" w:rsidRDefault="00B764FC" w:rsidP="0054190D">
      <w:pPr>
        <w:pStyle w:val="ListParagraph"/>
        <w:numPr>
          <w:ilvl w:val="0"/>
          <w:numId w:val="56"/>
        </w:numPr>
        <w:spacing w:line="276" w:lineRule="auto"/>
        <w:jc w:val="both"/>
        <w:rPr>
          <w:sz w:val="22"/>
          <w:szCs w:val="22"/>
        </w:rPr>
      </w:pPr>
      <w:r>
        <w:rPr>
          <w:sz w:val="22"/>
          <w:szCs w:val="22"/>
        </w:rPr>
        <w:t>They are eligible for program recurrent funding for the development of a social housing program (i.e. SHGF).</w:t>
      </w:r>
    </w:p>
    <w:p w14:paraId="07380028" w14:textId="77777777" w:rsidR="00B764FC" w:rsidRDefault="00B764FC" w:rsidP="0054190D">
      <w:pPr>
        <w:pStyle w:val="ListParagraph"/>
        <w:numPr>
          <w:ilvl w:val="0"/>
          <w:numId w:val="56"/>
        </w:numPr>
        <w:spacing w:after="240" w:line="276" w:lineRule="auto"/>
        <w:jc w:val="both"/>
        <w:rPr>
          <w:sz w:val="22"/>
          <w:szCs w:val="22"/>
        </w:rPr>
      </w:pPr>
      <w:r>
        <w:rPr>
          <w:sz w:val="22"/>
          <w:szCs w:val="22"/>
        </w:rPr>
        <w:t>They are eligible for low cost loans such as those offered by NHFIC at the Commonwealth level or the Victorian Treasury at the State level.</w:t>
      </w:r>
    </w:p>
    <w:p w14:paraId="0A6ABE4C" w14:textId="77777777" w:rsidR="00B764FC" w:rsidRDefault="00B764FC">
      <w:pPr>
        <w:spacing w:after="240" w:line="276" w:lineRule="auto"/>
        <w:jc w:val="both"/>
        <w:rPr>
          <w:sz w:val="22"/>
          <w:szCs w:val="22"/>
        </w:rPr>
      </w:pPr>
      <w:r>
        <w:rPr>
          <w:sz w:val="22"/>
          <w:szCs w:val="22"/>
        </w:rPr>
        <w:t xml:space="preserve">In addition, </w:t>
      </w:r>
      <w:r>
        <w:rPr>
          <w:b/>
          <w:bCs/>
          <w:sz w:val="22"/>
          <w:szCs w:val="22"/>
        </w:rPr>
        <w:t>Registered Housing Associations may have significant social advantages</w:t>
      </w:r>
      <w:r>
        <w:rPr>
          <w:sz w:val="22"/>
          <w:szCs w:val="22"/>
        </w:rPr>
        <w:t xml:space="preserve"> including:</w:t>
      </w:r>
    </w:p>
    <w:p w14:paraId="3C133331" w14:textId="77777777" w:rsidR="00B764FC" w:rsidRDefault="00B764FC" w:rsidP="0054190D">
      <w:pPr>
        <w:pStyle w:val="ListParagraph"/>
        <w:numPr>
          <w:ilvl w:val="0"/>
          <w:numId w:val="57"/>
        </w:numPr>
        <w:spacing w:line="276" w:lineRule="auto"/>
        <w:jc w:val="both"/>
        <w:rPr>
          <w:sz w:val="22"/>
          <w:szCs w:val="22"/>
        </w:rPr>
      </w:pPr>
      <w:r>
        <w:rPr>
          <w:sz w:val="22"/>
          <w:szCs w:val="22"/>
        </w:rPr>
        <w:t>A commitment to a community development approach which engages with local communities and seeks to empower them through local decision making and participation processes designed to build local capacity.</w:t>
      </w:r>
    </w:p>
    <w:p w14:paraId="479FA083" w14:textId="77777777" w:rsidR="00B764FC" w:rsidRDefault="00B764FC" w:rsidP="0054190D">
      <w:pPr>
        <w:pStyle w:val="ListParagraph"/>
        <w:numPr>
          <w:ilvl w:val="0"/>
          <w:numId w:val="57"/>
        </w:numPr>
        <w:spacing w:line="276" w:lineRule="auto"/>
        <w:jc w:val="both"/>
        <w:rPr>
          <w:sz w:val="22"/>
          <w:szCs w:val="22"/>
        </w:rPr>
      </w:pPr>
      <w:r>
        <w:rPr>
          <w:sz w:val="22"/>
          <w:szCs w:val="22"/>
        </w:rPr>
        <w:t>A commitment to place based service delivery which includes a local office and seeks to implement local procurement policies.</w:t>
      </w:r>
    </w:p>
    <w:p w14:paraId="51DDA6E4" w14:textId="77777777" w:rsidR="00B764FC" w:rsidRDefault="00B764FC" w:rsidP="0054190D">
      <w:pPr>
        <w:pStyle w:val="ListParagraph"/>
        <w:numPr>
          <w:ilvl w:val="0"/>
          <w:numId w:val="57"/>
        </w:numPr>
        <w:spacing w:line="276" w:lineRule="auto"/>
        <w:jc w:val="both"/>
        <w:rPr>
          <w:sz w:val="22"/>
          <w:szCs w:val="22"/>
        </w:rPr>
      </w:pPr>
      <w:r>
        <w:rPr>
          <w:sz w:val="22"/>
          <w:szCs w:val="22"/>
        </w:rPr>
        <w:t>A ‘client focused’ approach which aims to address the needs of their tenants by linking with other agencies to ensure tenants receive all of the services they are entitled to and which they may need to ensure a safe and sustainable tenancy.</w:t>
      </w:r>
    </w:p>
    <w:p w14:paraId="3F5868D9" w14:textId="77777777" w:rsidR="00B764FC" w:rsidRDefault="00B764FC" w:rsidP="0054190D">
      <w:pPr>
        <w:pStyle w:val="ListParagraph"/>
        <w:numPr>
          <w:ilvl w:val="0"/>
          <w:numId w:val="57"/>
        </w:numPr>
        <w:spacing w:after="240" w:line="276" w:lineRule="auto"/>
        <w:jc w:val="both"/>
        <w:rPr>
          <w:sz w:val="22"/>
          <w:szCs w:val="22"/>
        </w:rPr>
      </w:pPr>
      <w:r>
        <w:rPr>
          <w:sz w:val="22"/>
          <w:szCs w:val="22"/>
        </w:rPr>
        <w:t>A particular expertise in designing housing and managing tenancies for individuals and families with complex needs.</w:t>
      </w:r>
    </w:p>
    <w:p w14:paraId="4D3523C5" w14:textId="2A6225AB" w:rsidR="00B764FC" w:rsidRDefault="00B764FC">
      <w:pPr>
        <w:spacing w:after="240" w:line="276" w:lineRule="auto"/>
        <w:jc w:val="both"/>
        <w:rPr>
          <w:sz w:val="22"/>
          <w:szCs w:val="22"/>
        </w:rPr>
      </w:pPr>
      <w:r>
        <w:rPr>
          <w:b/>
          <w:bCs/>
          <w:sz w:val="22"/>
          <w:szCs w:val="22"/>
        </w:rPr>
        <w:t>Options for developing a relationship</w:t>
      </w:r>
      <w:r>
        <w:rPr>
          <w:sz w:val="22"/>
          <w:szCs w:val="22"/>
        </w:rPr>
        <w:t xml:space="preserve"> with an RHA are demonstrated by the approaches of two Victorian municipalities who have </w:t>
      </w:r>
      <w:r w:rsidR="00430BDF">
        <w:rPr>
          <w:sz w:val="22"/>
          <w:szCs w:val="22"/>
        </w:rPr>
        <w:t xml:space="preserve">recently </w:t>
      </w:r>
      <w:r>
        <w:rPr>
          <w:sz w:val="22"/>
          <w:szCs w:val="22"/>
        </w:rPr>
        <w:t xml:space="preserve">decided to create an Affordable Housing Trust as part of their affordable housing strategy and appoint a Registered Housing Agency as the manager of that trust. </w:t>
      </w:r>
      <w:r>
        <w:rPr>
          <w:sz w:val="22"/>
          <w:szCs w:val="22"/>
        </w:rPr>
        <w:lastRenderedPageBreak/>
        <w:t>These case studies provide an insight into the relationship between local government and affordable housing.</w:t>
      </w:r>
    </w:p>
    <w:p w14:paraId="0AAA2CF6" w14:textId="107960AB" w:rsidR="00B764FC" w:rsidRDefault="00B764FC" w:rsidP="0054190D">
      <w:pPr>
        <w:pStyle w:val="ListParagraph"/>
        <w:numPr>
          <w:ilvl w:val="0"/>
          <w:numId w:val="58"/>
        </w:numPr>
        <w:spacing w:before="240" w:after="240" w:line="276" w:lineRule="auto"/>
        <w:jc w:val="both"/>
        <w:rPr>
          <w:sz w:val="22"/>
          <w:szCs w:val="22"/>
        </w:rPr>
      </w:pPr>
      <w:r>
        <w:rPr>
          <w:b/>
          <w:bCs/>
          <w:sz w:val="22"/>
          <w:szCs w:val="22"/>
        </w:rPr>
        <w:t>The City of Hobsons Bay</w:t>
      </w:r>
      <w:r>
        <w:rPr>
          <w:sz w:val="22"/>
          <w:szCs w:val="22"/>
        </w:rPr>
        <w:t xml:space="preserve"> has recently established the Hobsons Bay Affordable Housing Trust to receive all Council investment in social and affordable housing including the benefits of planning contributions and has subsequently sought expressions of interest from Registered Housing Associations to act as manager of the Trust</w:t>
      </w:r>
    </w:p>
    <w:p w14:paraId="304D6D9F" w14:textId="77777777" w:rsidR="00B764FC" w:rsidRDefault="00B764FC" w:rsidP="0054190D">
      <w:pPr>
        <w:pStyle w:val="ListParagraph"/>
        <w:numPr>
          <w:ilvl w:val="0"/>
          <w:numId w:val="58"/>
        </w:numPr>
        <w:spacing w:after="240" w:line="276" w:lineRule="auto"/>
        <w:jc w:val="both"/>
        <w:rPr>
          <w:sz w:val="22"/>
          <w:szCs w:val="22"/>
        </w:rPr>
      </w:pPr>
      <w:r>
        <w:rPr>
          <w:b/>
          <w:bCs/>
          <w:sz w:val="22"/>
          <w:szCs w:val="22"/>
        </w:rPr>
        <w:t>The City of Moreland</w:t>
      </w:r>
      <w:r>
        <w:rPr>
          <w:sz w:val="22"/>
          <w:szCs w:val="22"/>
        </w:rPr>
        <w:t xml:space="preserve"> has established a Moreland Affordable Housing Trust which will also receive all Council investment in social and affordable housing including the benefits of planning contributions but has also taken the step of establishing a new Moreland Affordable Housing Company to act as Trustee and to obtain Registered Housing Association status so that it can obtain access to State and Commonwealth Housing Assistance to drive the implementation of Council’s social housing objectives</w:t>
      </w:r>
    </w:p>
    <w:p w14:paraId="257338AB" w14:textId="1B7E3AF1" w:rsidR="00B764FC" w:rsidRDefault="00B764FC">
      <w:pPr>
        <w:spacing w:after="240" w:line="276" w:lineRule="auto"/>
        <w:jc w:val="both"/>
        <w:rPr>
          <w:sz w:val="22"/>
          <w:szCs w:val="22"/>
        </w:rPr>
      </w:pPr>
      <w:r>
        <w:rPr>
          <w:sz w:val="22"/>
          <w:szCs w:val="22"/>
        </w:rPr>
        <w:t xml:space="preserve">Before assessing the merits of the two approaches it </w:t>
      </w:r>
      <w:r w:rsidR="00430BDF">
        <w:rPr>
          <w:sz w:val="22"/>
          <w:szCs w:val="22"/>
        </w:rPr>
        <w:t>is</w:t>
      </w:r>
      <w:r>
        <w:rPr>
          <w:sz w:val="22"/>
          <w:szCs w:val="22"/>
        </w:rPr>
        <w:t xml:space="preserve"> instructive to consider two previous Victorian initiatives.</w:t>
      </w:r>
    </w:p>
    <w:p w14:paraId="5051ABAC" w14:textId="77777777" w:rsidR="00B764FC" w:rsidRDefault="00B764FC">
      <w:pPr>
        <w:spacing w:after="240" w:line="276" w:lineRule="auto"/>
        <w:jc w:val="both"/>
        <w:rPr>
          <w:rStyle w:val="Strong"/>
          <w:sz w:val="22"/>
          <w:szCs w:val="22"/>
        </w:rPr>
      </w:pPr>
      <w:r>
        <w:rPr>
          <w:rStyle w:val="Strong"/>
          <w:sz w:val="22"/>
          <w:szCs w:val="22"/>
        </w:rPr>
        <w:t>City of Melbourne</w:t>
      </w:r>
    </w:p>
    <w:p w14:paraId="6833BE1F" w14:textId="54A7F994" w:rsidR="00B764FC" w:rsidRDefault="00B764FC">
      <w:pPr>
        <w:spacing w:after="240" w:line="276" w:lineRule="auto"/>
        <w:jc w:val="both"/>
        <w:rPr>
          <w:sz w:val="22"/>
          <w:szCs w:val="22"/>
        </w:rPr>
      </w:pPr>
      <w:r>
        <w:rPr>
          <w:sz w:val="22"/>
          <w:szCs w:val="22"/>
        </w:rPr>
        <w:t xml:space="preserve">In 2005 the City of Melbourne established the Inner-City Social Housing Trust and Inner-City Social Housing Fund, invested $1M into the Fund, identified some inner-city sites for development as social housing and established a Trustee Company to manage the two vehicles. The company soon merged with Ecumenical Housing to form Melbourne Affordable Housing which </w:t>
      </w:r>
      <w:r w:rsidR="00430BDF">
        <w:rPr>
          <w:sz w:val="22"/>
          <w:szCs w:val="22"/>
        </w:rPr>
        <w:t xml:space="preserve">subsequently </w:t>
      </w:r>
      <w:r>
        <w:rPr>
          <w:sz w:val="22"/>
          <w:szCs w:val="22"/>
        </w:rPr>
        <w:t xml:space="preserve">merged with Supported Housing Ltd to form Housing Choices Australia – a company with a national agenda to grow social housing particularly in capital cities. </w:t>
      </w:r>
    </w:p>
    <w:p w14:paraId="2411A6E5" w14:textId="77777777" w:rsidR="00B764FC" w:rsidRDefault="00B764FC">
      <w:pPr>
        <w:spacing w:after="240" w:line="276" w:lineRule="auto"/>
        <w:jc w:val="both"/>
        <w:rPr>
          <w:sz w:val="22"/>
          <w:szCs w:val="22"/>
        </w:rPr>
      </w:pPr>
      <w:r>
        <w:rPr>
          <w:sz w:val="22"/>
          <w:szCs w:val="22"/>
        </w:rPr>
        <w:t xml:space="preserve">Housing Choices has gone on to become one of the largest and most successful RHA’s nationally however its footprint in the City of Melbourne is limited and the partnership with the City of Melbourne did not grow beyond the first projects within the Inner-City Social Housing Trust. </w:t>
      </w:r>
    </w:p>
    <w:p w14:paraId="543C6DCA" w14:textId="124BEC16" w:rsidR="00B764FC" w:rsidRDefault="00B764FC">
      <w:pPr>
        <w:spacing w:after="240" w:line="276" w:lineRule="auto"/>
        <w:jc w:val="both"/>
        <w:rPr>
          <w:sz w:val="22"/>
          <w:szCs w:val="22"/>
        </w:rPr>
      </w:pPr>
      <w:r>
        <w:rPr>
          <w:sz w:val="22"/>
          <w:szCs w:val="22"/>
        </w:rPr>
        <w:t xml:space="preserve">Council’s 2018 Annual Report </w:t>
      </w:r>
      <w:r w:rsidR="00113CAB">
        <w:rPr>
          <w:sz w:val="22"/>
          <w:szCs w:val="22"/>
        </w:rPr>
        <w:t>does not mention</w:t>
      </w:r>
      <w:r>
        <w:rPr>
          <w:sz w:val="22"/>
          <w:szCs w:val="22"/>
        </w:rPr>
        <w:t xml:space="preserve"> the Trust</w:t>
      </w:r>
      <w:r w:rsidR="00113CAB">
        <w:rPr>
          <w:sz w:val="22"/>
          <w:szCs w:val="22"/>
        </w:rPr>
        <w:t xml:space="preserve">, nor is it </w:t>
      </w:r>
      <w:r>
        <w:rPr>
          <w:sz w:val="22"/>
          <w:szCs w:val="22"/>
        </w:rPr>
        <w:t xml:space="preserve">mentioned on the City of Melbourne web site. Interestingly in </w:t>
      </w:r>
      <w:r w:rsidR="00113CAB">
        <w:rPr>
          <w:sz w:val="22"/>
          <w:szCs w:val="22"/>
        </w:rPr>
        <w:t>its</w:t>
      </w:r>
      <w:r>
        <w:rPr>
          <w:sz w:val="22"/>
          <w:szCs w:val="22"/>
        </w:rPr>
        <w:t xml:space="preserve"> current Housing strategy the following commitment is made:</w:t>
      </w:r>
      <w:bookmarkStart w:id="151" w:name="_Toc410224326"/>
    </w:p>
    <w:p w14:paraId="2D4CCCFA" w14:textId="77777777" w:rsidR="00B764FC" w:rsidRDefault="00B764FC">
      <w:pPr>
        <w:spacing w:after="240" w:line="276" w:lineRule="auto"/>
        <w:jc w:val="both"/>
        <w:rPr>
          <w:i/>
          <w:iCs/>
          <w:sz w:val="22"/>
          <w:szCs w:val="22"/>
        </w:rPr>
      </w:pPr>
      <w:r>
        <w:rPr>
          <w:i/>
          <w:iCs/>
          <w:sz w:val="22"/>
          <w:szCs w:val="22"/>
        </w:rPr>
        <w:t>As part of the comprehensive redevelopment by the City of Melbourne of land it owns, we will consider including up to 15 per cent of dwellings constructed being made available as affordable housing to a registered Affordable Housing Provider.</w:t>
      </w:r>
      <w:bookmarkEnd w:id="151"/>
    </w:p>
    <w:p w14:paraId="7660708D" w14:textId="3D83D145" w:rsidR="00B764FC" w:rsidRDefault="00B764FC">
      <w:pPr>
        <w:spacing w:after="240" w:line="276" w:lineRule="auto"/>
        <w:jc w:val="both"/>
        <w:rPr>
          <w:sz w:val="22"/>
          <w:szCs w:val="22"/>
        </w:rPr>
      </w:pPr>
      <w:r>
        <w:rPr>
          <w:sz w:val="22"/>
          <w:szCs w:val="22"/>
        </w:rPr>
        <w:t xml:space="preserve">It is reasonable to conclude that the national focus of Housing Choices Australia, the manager of the Inner-City Social Housing Trust, has not led to a concentrated focus on the social housing needs of the residents of the City of Melbourne as was originally intended when the Trust was first established. The City now adopts </w:t>
      </w:r>
      <w:r w:rsidR="00113CAB">
        <w:rPr>
          <w:sz w:val="22"/>
          <w:szCs w:val="22"/>
        </w:rPr>
        <w:t>a</w:t>
      </w:r>
      <w:r>
        <w:rPr>
          <w:sz w:val="22"/>
          <w:szCs w:val="22"/>
        </w:rPr>
        <w:t xml:space="preserve"> tender</w:t>
      </w:r>
      <w:r w:rsidR="00113CAB">
        <w:rPr>
          <w:sz w:val="22"/>
          <w:szCs w:val="22"/>
        </w:rPr>
        <w:t>ing</w:t>
      </w:r>
      <w:r>
        <w:rPr>
          <w:sz w:val="22"/>
          <w:szCs w:val="22"/>
        </w:rPr>
        <w:t xml:space="preserve"> approach on a site by site basis.</w:t>
      </w:r>
    </w:p>
    <w:p w14:paraId="6F0C4CF4" w14:textId="77777777" w:rsidR="009135F8" w:rsidRDefault="009135F8">
      <w:pPr>
        <w:spacing w:after="240" w:line="276" w:lineRule="auto"/>
        <w:jc w:val="both"/>
        <w:rPr>
          <w:rStyle w:val="Strong"/>
          <w:sz w:val="22"/>
          <w:szCs w:val="22"/>
        </w:rPr>
      </w:pPr>
    </w:p>
    <w:p w14:paraId="509CE8DA" w14:textId="77777777" w:rsidR="009135F8" w:rsidRDefault="009135F8">
      <w:pPr>
        <w:spacing w:after="240" w:line="276" w:lineRule="auto"/>
        <w:jc w:val="both"/>
        <w:rPr>
          <w:rStyle w:val="Strong"/>
          <w:sz w:val="22"/>
          <w:szCs w:val="22"/>
        </w:rPr>
      </w:pPr>
    </w:p>
    <w:p w14:paraId="6CCADA57" w14:textId="45F12ECB" w:rsidR="00B764FC" w:rsidRDefault="00B764FC">
      <w:pPr>
        <w:spacing w:after="240" w:line="276" w:lineRule="auto"/>
        <w:jc w:val="both"/>
        <w:rPr>
          <w:rStyle w:val="Strong"/>
          <w:sz w:val="22"/>
          <w:szCs w:val="22"/>
        </w:rPr>
      </w:pPr>
      <w:r>
        <w:rPr>
          <w:rStyle w:val="Strong"/>
          <w:sz w:val="22"/>
          <w:szCs w:val="22"/>
        </w:rPr>
        <w:lastRenderedPageBreak/>
        <w:t>City of Port Phillip</w:t>
      </w:r>
    </w:p>
    <w:p w14:paraId="3D272508" w14:textId="23CC04E8" w:rsidR="00B764FC" w:rsidRDefault="00B764FC">
      <w:pPr>
        <w:spacing w:after="240" w:line="276" w:lineRule="auto"/>
        <w:jc w:val="both"/>
        <w:rPr>
          <w:sz w:val="22"/>
          <w:szCs w:val="22"/>
        </w:rPr>
      </w:pPr>
      <w:r>
        <w:rPr>
          <w:sz w:val="22"/>
          <w:szCs w:val="22"/>
        </w:rPr>
        <w:t xml:space="preserve">The City of Port Phillip is perhaps the best-known municipality for supporting social housing in Australia. The first phase of Council’s Housing Program covered two decades beginning </w:t>
      </w:r>
      <w:r w:rsidR="00113CAB">
        <w:rPr>
          <w:sz w:val="22"/>
          <w:szCs w:val="22"/>
        </w:rPr>
        <w:t xml:space="preserve">in </w:t>
      </w:r>
      <w:r>
        <w:rPr>
          <w:sz w:val="22"/>
          <w:szCs w:val="22"/>
        </w:rPr>
        <w:t>1984 and resulted in Council developing 14 Council owned sites yielding 311 units through a series of joint ventures with the Director of Housing. While Council owned these dwellings it appointed a Council created entity, Port Phillip Housing Association, (PPHA) to manage them. During this phase Council contributed the 14 sites with a land value of $13.4M and leveraged $19.4M in State and Commonwealth funding – Council</w:t>
      </w:r>
      <w:r w:rsidR="00113CAB">
        <w:rPr>
          <w:sz w:val="22"/>
          <w:szCs w:val="22"/>
        </w:rPr>
        <w:t>’</w:t>
      </w:r>
      <w:r>
        <w:rPr>
          <w:sz w:val="22"/>
          <w:szCs w:val="22"/>
        </w:rPr>
        <w:t>s contribution being</w:t>
      </w:r>
      <w:r w:rsidR="003636C3">
        <w:rPr>
          <w:sz w:val="22"/>
          <w:szCs w:val="22"/>
        </w:rPr>
        <w:t xml:space="preserve"> </w:t>
      </w:r>
      <w:r>
        <w:rPr>
          <w:sz w:val="22"/>
          <w:szCs w:val="22"/>
        </w:rPr>
        <w:t>41%.</w:t>
      </w:r>
    </w:p>
    <w:p w14:paraId="21C46D43" w14:textId="77777777" w:rsidR="00B764FC" w:rsidRDefault="00B764FC">
      <w:pPr>
        <w:spacing w:after="240" w:line="276" w:lineRule="auto"/>
        <w:jc w:val="both"/>
        <w:rPr>
          <w:sz w:val="22"/>
          <w:szCs w:val="22"/>
        </w:rPr>
      </w:pPr>
      <w:r>
        <w:rPr>
          <w:sz w:val="22"/>
          <w:szCs w:val="22"/>
        </w:rPr>
        <w:t>In 2004 Council undertook a review of the sustainability of the Housing Program in the context of increased demand for affordable housing from Port Phillip constituents and changes in government housing policy (particularly at the State level) which increased the opportunity for not for profit charitable organisations to access housing subsidies subject to obtaining registration under new regulatory controls in the Housing Act.</w:t>
      </w:r>
    </w:p>
    <w:p w14:paraId="07A07684" w14:textId="77777777" w:rsidR="00B764FC" w:rsidRDefault="00B764FC">
      <w:pPr>
        <w:spacing w:after="240" w:line="276" w:lineRule="auto"/>
        <w:jc w:val="both"/>
        <w:rPr>
          <w:sz w:val="22"/>
          <w:szCs w:val="22"/>
        </w:rPr>
      </w:pPr>
      <w:r>
        <w:rPr>
          <w:sz w:val="22"/>
          <w:szCs w:val="22"/>
        </w:rPr>
        <w:t>Following the Review</w:t>
      </w:r>
      <w:r w:rsidR="00113CAB">
        <w:rPr>
          <w:sz w:val="22"/>
          <w:szCs w:val="22"/>
        </w:rPr>
        <w:t>,</w:t>
      </w:r>
      <w:r>
        <w:rPr>
          <w:sz w:val="22"/>
          <w:szCs w:val="22"/>
        </w:rPr>
        <w:t xml:space="preserve"> Council adopted a plan to ensure the long term sustainability of the Program; maximise the growth of affordable housing through accessing the tax benefits of charitable status, raising debt finance and securing Victorian government funding and reposition the Program to emphasise the primary responsibility of the Victorian government for the supply of affordable housing and reduce the exposure of Council to the risks inherent in the program.</w:t>
      </w:r>
    </w:p>
    <w:p w14:paraId="31EF4AE5" w14:textId="40E7DC9E" w:rsidR="00B764FC" w:rsidRDefault="00B764FC">
      <w:pPr>
        <w:spacing w:after="240" w:line="276" w:lineRule="auto"/>
        <w:jc w:val="both"/>
        <w:rPr>
          <w:sz w:val="22"/>
          <w:szCs w:val="22"/>
        </w:rPr>
      </w:pPr>
      <w:r>
        <w:rPr>
          <w:sz w:val="22"/>
          <w:szCs w:val="22"/>
        </w:rPr>
        <w:t>This involved Council transferring the role of social housing developer to PPHA, creating a Port Phillip Housing Trust (PPHT) and transferring the 311 dwellings into the Trust, and appointing PPHA as the Trustee. Council then entered a 5-year agreement with PPHT to transfer additional sites and contribute $500,000 per annum in cash to grow the PPHT portfolio. Council also supported PPHA’s application for registration as a Housing Association under the new legislation and the submission for funding under the “Affordable Housing Growth Strategy” of the State government.</w:t>
      </w:r>
    </w:p>
    <w:p w14:paraId="4418FBB9" w14:textId="77777777" w:rsidR="00B764FC" w:rsidRDefault="00B764FC">
      <w:pPr>
        <w:spacing w:after="240" w:line="276" w:lineRule="auto"/>
        <w:jc w:val="both"/>
        <w:rPr>
          <w:sz w:val="22"/>
          <w:szCs w:val="22"/>
        </w:rPr>
      </w:pPr>
      <w:r>
        <w:rPr>
          <w:sz w:val="22"/>
          <w:szCs w:val="22"/>
        </w:rPr>
        <w:t xml:space="preserve">During the second phase (2005‐2015) Council contributed one additional site valued at $2.3M and a total of $4M in cash to the PPHT which generated 3 additional projects yielding 72 dwellings in PPHT – approximately $16M in State funding was leveraged. </w:t>
      </w:r>
    </w:p>
    <w:p w14:paraId="0D7DBB75" w14:textId="77777777" w:rsidR="00B764FC" w:rsidRDefault="00B764FC">
      <w:pPr>
        <w:spacing w:after="240" w:line="276" w:lineRule="auto"/>
        <w:jc w:val="both"/>
        <w:rPr>
          <w:sz w:val="22"/>
          <w:szCs w:val="22"/>
        </w:rPr>
      </w:pPr>
      <w:r>
        <w:rPr>
          <w:sz w:val="22"/>
          <w:szCs w:val="22"/>
        </w:rPr>
        <w:t xml:space="preserve">However, the creation of PPHA as an independent entity and its registration as a Housing Association enabled the company to secure private finance and attract additional funding for investment in social and affordable housing within the City of Port Phillip. A further 4 projects yielding 193 dwellings were completed in the municipality during this phase with PPHA contributing $16.7M of debt and equity and securing $48.6M in State funding. </w:t>
      </w:r>
    </w:p>
    <w:p w14:paraId="2B8D236A" w14:textId="4696E199" w:rsidR="00B764FC" w:rsidRDefault="00B764FC">
      <w:pPr>
        <w:spacing w:after="240" w:line="276" w:lineRule="auto"/>
        <w:jc w:val="both"/>
        <w:rPr>
          <w:sz w:val="22"/>
          <w:szCs w:val="22"/>
        </w:rPr>
      </w:pPr>
      <w:r>
        <w:rPr>
          <w:sz w:val="22"/>
          <w:szCs w:val="22"/>
        </w:rPr>
        <w:t>Thus</w:t>
      </w:r>
      <w:r w:rsidR="00BC731D">
        <w:rPr>
          <w:sz w:val="22"/>
          <w:szCs w:val="22"/>
        </w:rPr>
        <w:t>,</w:t>
      </w:r>
      <w:r>
        <w:rPr>
          <w:sz w:val="22"/>
          <w:szCs w:val="22"/>
        </w:rPr>
        <w:t xml:space="preserve"> PPHA was able to deliver 7 projects during that period yielding 265 additional social housing dwellings with Council only contributing directly to 72. Council’s contribution of $6.3M during this phase represented only 7.2% of the total of $87.6M invested. Clearly the creation of the PPHT and the establishment of PPHA as an independent RHA paid handsome dividends for the City.</w:t>
      </w:r>
    </w:p>
    <w:p w14:paraId="32859382" w14:textId="77777777" w:rsidR="00936DA5" w:rsidRDefault="00936DA5">
      <w:pPr>
        <w:spacing w:after="240" w:line="276" w:lineRule="auto"/>
        <w:jc w:val="both"/>
        <w:rPr>
          <w:b/>
          <w:bCs/>
          <w:sz w:val="22"/>
          <w:szCs w:val="22"/>
        </w:rPr>
      </w:pPr>
    </w:p>
    <w:p w14:paraId="60945DEA" w14:textId="39F62210" w:rsidR="00B764FC" w:rsidRDefault="00B764FC">
      <w:pPr>
        <w:spacing w:after="240" w:line="276" w:lineRule="auto"/>
        <w:jc w:val="both"/>
        <w:rPr>
          <w:b/>
          <w:bCs/>
          <w:sz w:val="22"/>
          <w:szCs w:val="22"/>
        </w:rPr>
      </w:pPr>
      <w:r>
        <w:rPr>
          <w:b/>
          <w:bCs/>
          <w:sz w:val="22"/>
          <w:szCs w:val="22"/>
        </w:rPr>
        <w:lastRenderedPageBreak/>
        <w:t>Brisbane Housing Company</w:t>
      </w:r>
    </w:p>
    <w:p w14:paraId="36E3D3FE" w14:textId="77777777" w:rsidR="00B764FC" w:rsidRDefault="00B764FC">
      <w:pPr>
        <w:spacing w:after="240" w:line="276" w:lineRule="auto"/>
        <w:jc w:val="both"/>
        <w:rPr>
          <w:sz w:val="22"/>
          <w:szCs w:val="22"/>
        </w:rPr>
      </w:pPr>
      <w:r>
        <w:rPr>
          <w:sz w:val="22"/>
          <w:szCs w:val="22"/>
        </w:rPr>
        <w:t>One other example from another state is also instructive. In 2002 the City of Brisbane and the Queensland State government collaborated on the establishment of the Brisbane Housing Company as a special purpose affordable housing development and management company. The company was initially capitalised by both parties (total of approximately $30M) and then operated on an independent basis accessing Council sites and government subsidies to build a portfolio which today is in excess of 1,700 dwellings with an asset value exceeding $400M. It is a Tier 1 Registered Housing Agency under the national regulatory System for Community Housing.</w:t>
      </w:r>
    </w:p>
    <w:p w14:paraId="5D488606" w14:textId="77777777" w:rsidR="00B764FC" w:rsidRDefault="00B764FC">
      <w:pPr>
        <w:spacing w:after="240" w:line="276" w:lineRule="auto"/>
        <w:jc w:val="both"/>
        <w:rPr>
          <w:sz w:val="22"/>
          <w:szCs w:val="22"/>
        </w:rPr>
      </w:pPr>
      <w:r>
        <w:rPr>
          <w:sz w:val="22"/>
          <w:szCs w:val="22"/>
        </w:rPr>
        <w:t>Given the geographical size of the municipality the parties did not see it as necessary to create a Trust to hold the assets but limited the scope of activity to the City via clauses within the constitution of the company.</w:t>
      </w:r>
    </w:p>
    <w:p w14:paraId="424A6A59" w14:textId="77777777" w:rsidR="00B764FC" w:rsidRDefault="00B764FC">
      <w:pPr>
        <w:spacing w:before="240" w:after="120"/>
        <w:rPr>
          <w:b/>
          <w:bCs/>
          <w:sz w:val="22"/>
          <w:szCs w:val="22"/>
        </w:rPr>
      </w:pPr>
      <w:r>
        <w:rPr>
          <w:b/>
          <w:bCs/>
          <w:sz w:val="22"/>
          <w:szCs w:val="22"/>
        </w:rPr>
        <w:t>In summary:</w:t>
      </w:r>
    </w:p>
    <w:p w14:paraId="3BDEADD3" w14:textId="77777777" w:rsidR="00B764FC" w:rsidRDefault="00B764FC" w:rsidP="0054190D">
      <w:pPr>
        <w:pStyle w:val="ListParagraph"/>
        <w:numPr>
          <w:ilvl w:val="0"/>
          <w:numId w:val="59"/>
        </w:numPr>
        <w:spacing w:after="120" w:line="276" w:lineRule="auto"/>
        <w:jc w:val="both"/>
        <w:rPr>
          <w:sz w:val="22"/>
          <w:szCs w:val="22"/>
        </w:rPr>
      </w:pPr>
      <w:r>
        <w:rPr>
          <w:sz w:val="22"/>
          <w:szCs w:val="22"/>
        </w:rPr>
        <w:t>Registered Housing Associations have significant financial benefits and may have substantial social benefits for implementing a Social Housing Growth Strategy</w:t>
      </w:r>
    </w:p>
    <w:p w14:paraId="68BF5B28" w14:textId="77777777" w:rsidR="00B764FC" w:rsidRDefault="00B764FC" w:rsidP="0054190D">
      <w:pPr>
        <w:pStyle w:val="ListParagraph"/>
        <w:numPr>
          <w:ilvl w:val="0"/>
          <w:numId w:val="59"/>
        </w:numPr>
        <w:spacing w:after="120" w:line="276" w:lineRule="auto"/>
        <w:jc w:val="both"/>
        <w:rPr>
          <w:sz w:val="22"/>
          <w:szCs w:val="22"/>
        </w:rPr>
      </w:pPr>
      <w:r>
        <w:rPr>
          <w:sz w:val="22"/>
          <w:szCs w:val="22"/>
        </w:rPr>
        <w:t>Registered Housing Associations also have preferential access to State and Commonwealth housing assistance programs without which the implementation of a significant social housing growth strategy would be impossible</w:t>
      </w:r>
    </w:p>
    <w:p w14:paraId="1018EFC4" w14:textId="77777777" w:rsidR="00B764FC" w:rsidRDefault="00B764FC" w:rsidP="0054190D">
      <w:pPr>
        <w:pStyle w:val="ListParagraph"/>
        <w:numPr>
          <w:ilvl w:val="0"/>
          <w:numId w:val="59"/>
        </w:numPr>
        <w:spacing w:after="120" w:line="276" w:lineRule="auto"/>
        <w:jc w:val="both"/>
        <w:rPr>
          <w:sz w:val="22"/>
          <w:szCs w:val="22"/>
        </w:rPr>
      </w:pPr>
      <w:r>
        <w:rPr>
          <w:sz w:val="22"/>
          <w:szCs w:val="22"/>
        </w:rPr>
        <w:t>A number of Victorian municipalities are currently adopting aggressive social housing growth strategies and are including the establishment of an Affordable Housing Trust as an investment and security vehicle for Council and other investments under the management of an appointed Registered Housing Association</w:t>
      </w:r>
    </w:p>
    <w:p w14:paraId="27B2EAB3" w14:textId="4D50D055" w:rsidR="00B764FC" w:rsidRDefault="00B764FC" w:rsidP="0054190D">
      <w:pPr>
        <w:pStyle w:val="ListParagraph"/>
        <w:numPr>
          <w:ilvl w:val="0"/>
          <w:numId w:val="59"/>
        </w:numPr>
        <w:spacing w:after="120" w:line="276" w:lineRule="auto"/>
        <w:jc w:val="both"/>
        <w:rPr>
          <w:sz w:val="22"/>
          <w:szCs w:val="22"/>
        </w:rPr>
      </w:pPr>
      <w:r>
        <w:rPr>
          <w:sz w:val="22"/>
          <w:szCs w:val="22"/>
        </w:rPr>
        <w:t>History suggests that the most effective relationships between a Local Government authority and a Registered Housing Association is one where the Council t</w:t>
      </w:r>
      <w:r w:rsidR="00113CAB">
        <w:rPr>
          <w:sz w:val="22"/>
          <w:szCs w:val="22"/>
        </w:rPr>
        <w:t>akes</w:t>
      </w:r>
      <w:r>
        <w:rPr>
          <w:sz w:val="22"/>
          <w:szCs w:val="22"/>
        </w:rPr>
        <w:t xml:space="preserve"> the initiative to establish </w:t>
      </w:r>
      <w:r w:rsidR="00113CAB">
        <w:rPr>
          <w:sz w:val="22"/>
          <w:szCs w:val="22"/>
        </w:rPr>
        <w:t>a</w:t>
      </w:r>
      <w:r>
        <w:rPr>
          <w:sz w:val="22"/>
          <w:szCs w:val="22"/>
        </w:rPr>
        <w:t xml:space="preserve"> Housing Association </w:t>
      </w:r>
      <w:r w:rsidR="00113CAB">
        <w:rPr>
          <w:sz w:val="22"/>
          <w:szCs w:val="22"/>
        </w:rPr>
        <w:t xml:space="preserve">which </w:t>
      </w:r>
      <w:r>
        <w:rPr>
          <w:sz w:val="22"/>
          <w:szCs w:val="22"/>
        </w:rPr>
        <w:t>is then appointed manager of the Council created ‘Housing Trust’ and retain</w:t>
      </w:r>
      <w:r w:rsidR="00113CAB">
        <w:rPr>
          <w:sz w:val="22"/>
          <w:szCs w:val="22"/>
        </w:rPr>
        <w:t>s</w:t>
      </w:r>
      <w:r>
        <w:rPr>
          <w:sz w:val="22"/>
          <w:szCs w:val="22"/>
        </w:rPr>
        <w:t xml:space="preserve"> continuing ‘ownership’ of the company.</w:t>
      </w:r>
    </w:p>
    <w:bookmarkEnd w:id="148"/>
    <w:p w14:paraId="15E2AD39" w14:textId="77777777" w:rsidR="00B764FC" w:rsidRDefault="00B764FC">
      <w:pPr>
        <w:rPr>
          <w:sz w:val="22"/>
          <w:szCs w:val="22"/>
          <w:lang w:val="en-US"/>
        </w:rPr>
      </w:pPr>
    </w:p>
    <w:p w14:paraId="341C0F2B" w14:textId="0B786CF5" w:rsidR="00113CAB" w:rsidRDefault="00B764FC">
      <w:pPr>
        <w:spacing w:line="276" w:lineRule="auto"/>
        <w:jc w:val="both"/>
        <w:rPr>
          <w:sz w:val="22"/>
          <w:szCs w:val="22"/>
        </w:rPr>
      </w:pPr>
      <w:bookmarkStart w:id="152" w:name="_Toc17370617"/>
      <w:r>
        <w:rPr>
          <w:sz w:val="22"/>
          <w:szCs w:val="22"/>
        </w:rPr>
        <w:t xml:space="preserve">The City of Greater Geelong </w:t>
      </w:r>
      <w:r>
        <w:rPr>
          <w:i/>
          <w:iCs/>
          <w:sz w:val="22"/>
          <w:szCs w:val="22"/>
        </w:rPr>
        <w:t>Social Housing Plan 20</w:t>
      </w:r>
      <w:r w:rsidR="003636C3">
        <w:rPr>
          <w:i/>
          <w:iCs/>
          <w:sz w:val="22"/>
          <w:szCs w:val="22"/>
        </w:rPr>
        <w:t>20</w:t>
      </w:r>
      <w:r>
        <w:rPr>
          <w:i/>
          <w:iCs/>
          <w:sz w:val="22"/>
          <w:szCs w:val="22"/>
        </w:rPr>
        <w:t xml:space="preserve"> – 2041</w:t>
      </w:r>
      <w:r>
        <w:rPr>
          <w:sz w:val="22"/>
          <w:szCs w:val="22"/>
        </w:rPr>
        <w:t xml:space="preserve"> builds upon the key issues emerging through Part B: Context for a Social Housing Plan.</w:t>
      </w:r>
    </w:p>
    <w:p w14:paraId="337EA596" w14:textId="77777777" w:rsidR="00B764FC" w:rsidRDefault="00B764FC">
      <w:pPr>
        <w:spacing w:line="276" w:lineRule="auto"/>
        <w:jc w:val="both"/>
        <w:rPr>
          <w:rFonts w:ascii="Calibri Light" w:hAnsi="Calibri Light" w:cs="Calibri Light"/>
          <w:color w:val="000080"/>
          <w:spacing w:val="5"/>
          <w:kern w:val="28"/>
          <w:sz w:val="52"/>
          <w:szCs w:val="52"/>
        </w:rPr>
      </w:pPr>
      <w:r>
        <w:br w:type="page"/>
      </w:r>
    </w:p>
    <w:p w14:paraId="1CA3317A" w14:textId="77777777" w:rsidR="00B764FC" w:rsidRPr="00291EB3" w:rsidRDefault="00B764FC" w:rsidP="00077040">
      <w:pPr>
        <w:pStyle w:val="Heading1"/>
        <w:numPr>
          <w:ilvl w:val="0"/>
          <w:numId w:val="14"/>
        </w:numPr>
        <w:rPr>
          <w:color w:val="002060"/>
        </w:rPr>
      </w:pPr>
      <w:bookmarkStart w:id="153" w:name="_Toc17387339"/>
      <w:bookmarkEnd w:id="152"/>
      <w:r w:rsidRPr="00291EB3">
        <w:rPr>
          <w:color w:val="002060"/>
        </w:rPr>
        <w:lastRenderedPageBreak/>
        <w:t xml:space="preserve"> </w:t>
      </w:r>
      <w:bookmarkStart w:id="154" w:name="_Toc22120196"/>
      <w:r w:rsidRPr="00291EB3">
        <w:rPr>
          <w:color w:val="002060"/>
        </w:rPr>
        <w:t>Attachments</w:t>
      </w:r>
      <w:bookmarkEnd w:id="153"/>
      <w:bookmarkEnd w:id="154"/>
      <w:r w:rsidRPr="00291EB3">
        <w:rPr>
          <w:color w:val="002060"/>
        </w:rPr>
        <w:t xml:space="preserve"> </w:t>
      </w:r>
    </w:p>
    <w:p w14:paraId="3BADE1D3" w14:textId="23E27794" w:rsidR="00B764FC" w:rsidRDefault="00B764FC">
      <w:pPr>
        <w:pStyle w:val="Caption"/>
        <w:keepNext/>
        <w:rPr>
          <w:b/>
          <w:bCs/>
        </w:rPr>
      </w:pPr>
      <w:bookmarkStart w:id="155" w:name="_Ref16068148"/>
      <w:bookmarkStart w:id="156" w:name="_Ref17385328"/>
      <w:bookmarkStart w:id="157" w:name="_Ref16068150"/>
      <w:bookmarkStart w:id="158" w:name="_Ref17385331"/>
      <w:bookmarkStart w:id="159" w:name="_Toc22120056"/>
      <w:r>
        <w:rPr>
          <w:b/>
          <w:bCs/>
        </w:rPr>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21</w:t>
      </w:r>
      <w:r w:rsidR="00FF5CA4">
        <w:rPr>
          <w:b/>
          <w:bCs/>
        </w:rPr>
        <w:fldChar w:fldCharType="end"/>
      </w:r>
      <w:bookmarkEnd w:id="155"/>
      <w:bookmarkEnd w:id="156"/>
      <w:r>
        <w:rPr>
          <w:b/>
          <w:bCs/>
        </w:rPr>
        <w:t>: Key Terms</w:t>
      </w:r>
      <w:bookmarkEnd w:id="157"/>
      <w:bookmarkEnd w:id="158"/>
      <w:bookmarkEnd w:id="159"/>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694"/>
        <w:gridCol w:w="6520"/>
      </w:tblGrid>
      <w:tr w:rsidR="00B764FC" w14:paraId="23262B50" w14:textId="77777777" w:rsidTr="00291EB3">
        <w:trPr>
          <w:tblHeader/>
        </w:trPr>
        <w:tc>
          <w:tcPr>
            <w:tcW w:w="2694" w:type="dxa"/>
            <w:tcBorders>
              <w:left w:val="nil"/>
              <w:right w:val="nil"/>
            </w:tcBorders>
            <w:shd w:val="clear" w:color="auto" w:fill="002060"/>
          </w:tcPr>
          <w:p w14:paraId="18BD2097" w14:textId="77777777" w:rsidR="00B764FC" w:rsidRDefault="00B764FC">
            <w:pPr>
              <w:rPr>
                <w:b/>
                <w:bCs/>
                <w:color w:val="FFFFFF"/>
                <w:sz w:val="20"/>
                <w:szCs w:val="20"/>
              </w:rPr>
            </w:pPr>
            <w:r>
              <w:rPr>
                <w:b/>
                <w:bCs/>
                <w:color w:val="FFFFFF"/>
                <w:sz w:val="20"/>
                <w:szCs w:val="20"/>
              </w:rPr>
              <w:t>Key Term</w:t>
            </w:r>
          </w:p>
        </w:tc>
        <w:tc>
          <w:tcPr>
            <w:tcW w:w="6520" w:type="dxa"/>
            <w:tcBorders>
              <w:left w:val="nil"/>
              <w:right w:val="nil"/>
            </w:tcBorders>
            <w:shd w:val="clear" w:color="auto" w:fill="002060"/>
          </w:tcPr>
          <w:p w14:paraId="2A97F887" w14:textId="77777777" w:rsidR="00B764FC" w:rsidRDefault="00B764FC">
            <w:pPr>
              <w:rPr>
                <w:b/>
                <w:bCs/>
                <w:color w:val="FFFFFF"/>
                <w:sz w:val="20"/>
                <w:szCs w:val="20"/>
              </w:rPr>
            </w:pPr>
            <w:r>
              <w:rPr>
                <w:b/>
                <w:bCs/>
                <w:color w:val="FFFFFF"/>
                <w:sz w:val="20"/>
                <w:szCs w:val="20"/>
              </w:rPr>
              <w:t xml:space="preserve">Definition Applied to Current Project  </w:t>
            </w:r>
          </w:p>
        </w:tc>
      </w:tr>
      <w:tr w:rsidR="00B764FC" w14:paraId="609C3688" w14:textId="77777777">
        <w:tc>
          <w:tcPr>
            <w:tcW w:w="2694" w:type="dxa"/>
            <w:tcBorders>
              <w:left w:val="nil"/>
              <w:right w:val="nil"/>
            </w:tcBorders>
          </w:tcPr>
          <w:p w14:paraId="0A584E7E" w14:textId="77777777" w:rsidR="00B764FC" w:rsidRDefault="00B764FC">
            <w:pPr>
              <w:rPr>
                <w:b/>
                <w:bCs/>
                <w:sz w:val="20"/>
                <w:szCs w:val="20"/>
              </w:rPr>
            </w:pPr>
            <w:r>
              <w:rPr>
                <w:b/>
                <w:bCs/>
                <w:sz w:val="20"/>
                <w:szCs w:val="20"/>
              </w:rPr>
              <w:t>Affordable housing</w:t>
            </w:r>
          </w:p>
          <w:p w14:paraId="78C7F49D" w14:textId="77777777" w:rsidR="00B764FC" w:rsidRDefault="00B764FC">
            <w:pPr>
              <w:rPr>
                <w:b/>
                <w:bCs/>
                <w:sz w:val="20"/>
                <w:szCs w:val="20"/>
              </w:rPr>
            </w:pPr>
          </w:p>
        </w:tc>
        <w:tc>
          <w:tcPr>
            <w:tcW w:w="6520" w:type="dxa"/>
            <w:tcBorders>
              <w:left w:val="nil"/>
              <w:right w:val="nil"/>
            </w:tcBorders>
          </w:tcPr>
          <w:p w14:paraId="2A0017C2" w14:textId="0E2C0887" w:rsidR="00B764FC" w:rsidRDefault="00B764FC">
            <w:pPr>
              <w:rPr>
                <w:sz w:val="20"/>
                <w:szCs w:val="20"/>
              </w:rPr>
            </w:pPr>
            <w:r>
              <w:rPr>
                <w:sz w:val="20"/>
                <w:szCs w:val="20"/>
              </w:rPr>
              <w:t>A dwelling available through a housing assistance program that provides for a specified level of below market rent price (e.g. </w:t>
            </w:r>
            <w:hyperlink r:id="rId29" w:history="1">
              <w:r>
                <w:rPr>
                  <w:rStyle w:val="Hyperlink"/>
                  <w:color w:val="auto"/>
                  <w:sz w:val="18"/>
                  <w:szCs w:val="18"/>
                  <w:u w:val="none"/>
                </w:rPr>
                <w:t>public housing</w:t>
              </w:r>
            </w:hyperlink>
            <w:r>
              <w:rPr>
                <w:sz w:val="20"/>
                <w:szCs w:val="20"/>
              </w:rPr>
              <w:t>, </w:t>
            </w:r>
            <w:hyperlink r:id="rId30" w:history="1">
              <w:r>
                <w:rPr>
                  <w:rStyle w:val="Hyperlink"/>
                  <w:color w:val="auto"/>
                  <w:sz w:val="18"/>
                  <w:szCs w:val="18"/>
                  <w:u w:val="none"/>
                </w:rPr>
                <w:t>community housing</w:t>
              </w:r>
            </w:hyperlink>
            <w:r>
              <w:rPr>
                <w:sz w:val="20"/>
                <w:szCs w:val="20"/>
              </w:rPr>
              <w:t>, </w:t>
            </w:r>
            <w:hyperlink r:id="rId31" w:history="1">
              <w:r>
                <w:rPr>
                  <w:rStyle w:val="Hyperlink"/>
                  <w:color w:val="auto"/>
                  <w:sz w:val="18"/>
                  <w:szCs w:val="18"/>
                  <w:u w:val="none"/>
                </w:rPr>
                <w:t>National Rental Affordability Scheme</w:t>
              </w:r>
            </w:hyperlink>
            <w:r>
              <w:rPr>
                <w:sz w:val="20"/>
                <w:szCs w:val="20"/>
              </w:rPr>
              <w:t>, shared equity scheme for home ownership).</w:t>
            </w:r>
          </w:p>
        </w:tc>
      </w:tr>
      <w:tr w:rsidR="00B764FC" w14:paraId="01EEBAC4" w14:textId="77777777">
        <w:tc>
          <w:tcPr>
            <w:tcW w:w="2694" w:type="dxa"/>
            <w:tcBorders>
              <w:left w:val="nil"/>
              <w:right w:val="nil"/>
            </w:tcBorders>
          </w:tcPr>
          <w:p w14:paraId="63E4DD11" w14:textId="77777777" w:rsidR="00B764FC" w:rsidRDefault="00B764FC">
            <w:pPr>
              <w:rPr>
                <w:b/>
                <w:bCs/>
                <w:sz w:val="20"/>
                <w:szCs w:val="20"/>
              </w:rPr>
            </w:pPr>
            <w:r>
              <w:rPr>
                <w:b/>
                <w:bCs/>
                <w:sz w:val="20"/>
                <w:szCs w:val="20"/>
              </w:rPr>
              <w:t>Community housing</w:t>
            </w:r>
          </w:p>
        </w:tc>
        <w:tc>
          <w:tcPr>
            <w:tcW w:w="6520" w:type="dxa"/>
            <w:tcBorders>
              <w:left w:val="nil"/>
              <w:right w:val="nil"/>
            </w:tcBorders>
          </w:tcPr>
          <w:p w14:paraId="5E01B0F6" w14:textId="77777777" w:rsidR="00B764FC" w:rsidRDefault="00B764FC">
            <w:pPr>
              <w:rPr>
                <w:sz w:val="20"/>
                <w:szCs w:val="20"/>
              </w:rPr>
            </w:pPr>
            <w:r>
              <w:rPr>
                <w:sz w:val="20"/>
                <w:szCs w:val="20"/>
              </w:rPr>
              <w:t>Community housing is secure, affordable, long term rental housing managed by not-for-profit organisations for people on low incomes or with special needs.</w:t>
            </w:r>
          </w:p>
        </w:tc>
      </w:tr>
      <w:tr w:rsidR="00B764FC" w14:paraId="7BF4C38F" w14:textId="77777777">
        <w:tc>
          <w:tcPr>
            <w:tcW w:w="2694" w:type="dxa"/>
            <w:tcBorders>
              <w:left w:val="nil"/>
              <w:right w:val="nil"/>
            </w:tcBorders>
          </w:tcPr>
          <w:p w14:paraId="3E7FAC2C" w14:textId="77777777" w:rsidR="00B764FC" w:rsidRDefault="00B764FC">
            <w:pPr>
              <w:rPr>
                <w:b/>
                <w:bCs/>
                <w:sz w:val="20"/>
                <w:szCs w:val="20"/>
              </w:rPr>
            </w:pPr>
            <w:r>
              <w:rPr>
                <w:b/>
                <w:bCs/>
                <w:sz w:val="20"/>
                <w:szCs w:val="20"/>
              </w:rPr>
              <w:t>Community housing provider</w:t>
            </w:r>
          </w:p>
        </w:tc>
        <w:tc>
          <w:tcPr>
            <w:tcW w:w="6520" w:type="dxa"/>
            <w:tcBorders>
              <w:left w:val="nil"/>
              <w:right w:val="nil"/>
            </w:tcBorders>
          </w:tcPr>
          <w:p w14:paraId="42FCEBF4" w14:textId="77777777" w:rsidR="00B764FC" w:rsidRDefault="00B764FC">
            <w:pPr>
              <w:rPr>
                <w:sz w:val="20"/>
                <w:szCs w:val="20"/>
              </w:rPr>
            </w:pPr>
            <w:r>
              <w:rPr>
                <w:sz w:val="20"/>
                <w:szCs w:val="20"/>
              </w:rPr>
              <w:t>A not-for-profit organisation that delivers and/or manages community housing.</w:t>
            </w:r>
          </w:p>
        </w:tc>
      </w:tr>
      <w:tr w:rsidR="00B764FC" w14:paraId="27C41CBA" w14:textId="77777777">
        <w:tc>
          <w:tcPr>
            <w:tcW w:w="2694" w:type="dxa"/>
            <w:tcBorders>
              <w:left w:val="nil"/>
              <w:right w:val="nil"/>
            </w:tcBorders>
          </w:tcPr>
          <w:p w14:paraId="77FF2F92" w14:textId="77777777" w:rsidR="00B764FC" w:rsidRDefault="00B764FC">
            <w:pPr>
              <w:rPr>
                <w:b/>
                <w:bCs/>
                <w:sz w:val="20"/>
                <w:szCs w:val="20"/>
              </w:rPr>
            </w:pPr>
            <w:r>
              <w:rPr>
                <w:b/>
                <w:bCs/>
                <w:sz w:val="20"/>
                <w:szCs w:val="20"/>
              </w:rPr>
              <w:t>Commonwealth Rent Assistance (CRA)</w:t>
            </w:r>
          </w:p>
        </w:tc>
        <w:tc>
          <w:tcPr>
            <w:tcW w:w="6520" w:type="dxa"/>
            <w:tcBorders>
              <w:left w:val="nil"/>
              <w:right w:val="nil"/>
            </w:tcBorders>
          </w:tcPr>
          <w:p w14:paraId="13D0E02A" w14:textId="77777777" w:rsidR="00B764FC" w:rsidRDefault="00B764FC">
            <w:pPr>
              <w:rPr>
                <w:sz w:val="20"/>
                <w:szCs w:val="20"/>
              </w:rPr>
            </w:pPr>
          </w:p>
          <w:p w14:paraId="4F3462EE" w14:textId="77777777" w:rsidR="00B764FC" w:rsidRDefault="00B764FC">
            <w:pPr>
              <w:rPr>
                <w:sz w:val="20"/>
                <w:szCs w:val="20"/>
              </w:rPr>
            </w:pPr>
            <w:r>
              <w:rPr>
                <w:sz w:val="20"/>
                <w:szCs w:val="20"/>
              </w:rPr>
              <w:t>A non-taxable Commonwealth Government supplementary payment added on to the benefit or family payment of people who rent in the private rental market above applicable rent thresholds.</w:t>
            </w:r>
          </w:p>
        </w:tc>
      </w:tr>
      <w:tr w:rsidR="00B764FC" w14:paraId="24E266D9" w14:textId="77777777">
        <w:tc>
          <w:tcPr>
            <w:tcW w:w="2694" w:type="dxa"/>
            <w:tcBorders>
              <w:left w:val="nil"/>
              <w:right w:val="nil"/>
            </w:tcBorders>
          </w:tcPr>
          <w:p w14:paraId="298EE45D" w14:textId="77777777" w:rsidR="00B764FC" w:rsidRDefault="00B764FC">
            <w:pPr>
              <w:rPr>
                <w:b/>
                <w:bCs/>
                <w:sz w:val="20"/>
                <w:szCs w:val="20"/>
              </w:rPr>
            </w:pPr>
            <w:r>
              <w:rPr>
                <w:b/>
                <w:bCs/>
                <w:sz w:val="20"/>
                <w:szCs w:val="20"/>
              </w:rPr>
              <w:t xml:space="preserve">Crisis accommodation </w:t>
            </w:r>
          </w:p>
        </w:tc>
        <w:tc>
          <w:tcPr>
            <w:tcW w:w="6520" w:type="dxa"/>
            <w:tcBorders>
              <w:left w:val="nil"/>
              <w:right w:val="nil"/>
            </w:tcBorders>
          </w:tcPr>
          <w:p w14:paraId="69DB80A0" w14:textId="77777777" w:rsidR="00B764FC" w:rsidRDefault="00B764FC">
            <w:pPr>
              <w:rPr>
                <w:sz w:val="20"/>
                <w:szCs w:val="20"/>
              </w:rPr>
            </w:pPr>
            <w:r>
              <w:rPr>
                <w:sz w:val="20"/>
                <w:szCs w:val="20"/>
              </w:rPr>
              <w:t>Crisis and emergency accommodation includes a range of specialist services for people who are homeless, at risk of homelessness, escaping family violence, or in other emergencies. These services are available 24-hours a day, however they are temporary and designed to immediately assist people in crisis to stabilise and move on to something more permanent.</w:t>
            </w:r>
          </w:p>
        </w:tc>
      </w:tr>
      <w:tr w:rsidR="00B764FC" w14:paraId="67E5CA85" w14:textId="77777777">
        <w:tc>
          <w:tcPr>
            <w:tcW w:w="2694" w:type="dxa"/>
            <w:tcBorders>
              <w:left w:val="nil"/>
              <w:right w:val="nil"/>
            </w:tcBorders>
          </w:tcPr>
          <w:p w14:paraId="1C905BD1" w14:textId="77777777" w:rsidR="00B764FC" w:rsidRDefault="00B764FC">
            <w:pPr>
              <w:rPr>
                <w:b/>
                <w:bCs/>
                <w:sz w:val="20"/>
                <w:szCs w:val="20"/>
              </w:rPr>
            </w:pPr>
            <w:r>
              <w:rPr>
                <w:b/>
                <w:bCs/>
                <w:sz w:val="20"/>
                <w:szCs w:val="20"/>
              </w:rPr>
              <w:t>Department of Health and Human Services</w:t>
            </w:r>
          </w:p>
        </w:tc>
        <w:tc>
          <w:tcPr>
            <w:tcW w:w="6520" w:type="dxa"/>
            <w:tcBorders>
              <w:left w:val="nil"/>
              <w:right w:val="nil"/>
            </w:tcBorders>
          </w:tcPr>
          <w:p w14:paraId="691F1141" w14:textId="77777777" w:rsidR="00B764FC" w:rsidRDefault="00B764FC">
            <w:pPr>
              <w:rPr>
                <w:sz w:val="20"/>
                <w:szCs w:val="20"/>
              </w:rPr>
            </w:pPr>
            <w:r>
              <w:rPr>
                <w:sz w:val="20"/>
                <w:szCs w:val="20"/>
              </w:rPr>
              <w:t>The Department of Health and Human Services (DHHS) is an agency of the Victorian State Government. DHHS delivers policies, programs and services for children and families, women, gender and equality, sport and recreation health and wellbeing, ambulance services, public health, ageing, disability, mental health, alcohol and other drugs and housing and homelessness.</w:t>
            </w:r>
          </w:p>
        </w:tc>
      </w:tr>
      <w:tr w:rsidR="00B764FC" w14:paraId="45E61271" w14:textId="77777777">
        <w:tc>
          <w:tcPr>
            <w:tcW w:w="2694" w:type="dxa"/>
            <w:tcBorders>
              <w:left w:val="nil"/>
              <w:right w:val="nil"/>
            </w:tcBorders>
          </w:tcPr>
          <w:p w14:paraId="75973D56" w14:textId="77777777" w:rsidR="00B764FC" w:rsidRDefault="00B764FC">
            <w:pPr>
              <w:rPr>
                <w:b/>
                <w:bCs/>
                <w:sz w:val="20"/>
                <w:szCs w:val="20"/>
              </w:rPr>
            </w:pPr>
            <w:r>
              <w:rPr>
                <w:b/>
                <w:bCs/>
                <w:sz w:val="20"/>
                <w:szCs w:val="20"/>
              </w:rPr>
              <w:t>Director of Housing (DoH)</w:t>
            </w:r>
          </w:p>
        </w:tc>
        <w:tc>
          <w:tcPr>
            <w:tcW w:w="6520" w:type="dxa"/>
            <w:tcBorders>
              <w:left w:val="nil"/>
              <w:right w:val="nil"/>
            </w:tcBorders>
          </w:tcPr>
          <w:p w14:paraId="4618F118" w14:textId="77777777" w:rsidR="00B764FC" w:rsidRDefault="00B764FC">
            <w:pPr>
              <w:rPr>
                <w:sz w:val="20"/>
                <w:szCs w:val="20"/>
              </w:rPr>
            </w:pPr>
            <w:r>
              <w:rPr>
                <w:sz w:val="20"/>
                <w:szCs w:val="20"/>
              </w:rPr>
              <w:t>The Director of Housing is the body corporate established under section 9(2) of the Housing Act 1983. The Director of Housing, sits within DHHS and is the landlord of Victoria’s public housing. The Director has powers to purchase, develop, lease and sell property.</w:t>
            </w:r>
          </w:p>
        </w:tc>
      </w:tr>
      <w:tr w:rsidR="00B764FC" w14:paraId="62A07C6E" w14:textId="77777777">
        <w:tc>
          <w:tcPr>
            <w:tcW w:w="2694" w:type="dxa"/>
            <w:tcBorders>
              <w:left w:val="nil"/>
              <w:right w:val="nil"/>
            </w:tcBorders>
          </w:tcPr>
          <w:p w14:paraId="265E4208" w14:textId="77777777" w:rsidR="00B764FC" w:rsidRDefault="00B764FC">
            <w:pPr>
              <w:rPr>
                <w:b/>
                <w:bCs/>
                <w:sz w:val="20"/>
                <w:szCs w:val="20"/>
              </w:rPr>
            </w:pPr>
            <w:r>
              <w:rPr>
                <w:b/>
                <w:bCs/>
                <w:sz w:val="20"/>
                <w:szCs w:val="20"/>
              </w:rPr>
              <w:t>Homelessness</w:t>
            </w:r>
          </w:p>
          <w:p w14:paraId="0918039A" w14:textId="77777777" w:rsidR="00B764FC" w:rsidRDefault="00B764FC">
            <w:pPr>
              <w:rPr>
                <w:b/>
                <w:bCs/>
                <w:sz w:val="20"/>
                <w:szCs w:val="20"/>
              </w:rPr>
            </w:pPr>
          </w:p>
        </w:tc>
        <w:tc>
          <w:tcPr>
            <w:tcW w:w="6520" w:type="dxa"/>
            <w:tcBorders>
              <w:left w:val="nil"/>
              <w:right w:val="nil"/>
            </w:tcBorders>
          </w:tcPr>
          <w:p w14:paraId="794EE47D" w14:textId="77777777" w:rsidR="00B764FC" w:rsidRDefault="00B764FC">
            <w:pPr>
              <w:rPr>
                <w:sz w:val="20"/>
                <w:szCs w:val="20"/>
              </w:rPr>
            </w:pPr>
            <w:r>
              <w:rPr>
                <w:sz w:val="20"/>
                <w:szCs w:val="20"/>
              </w:rPr>
              <w:t>The Australian Bureau of Statistics definition states that when a person does not have suitable accommodation alternatives they are considered homeless if their current living arrangement: is in a dwelling that is inadequate has no tenure, or if their initial tenure is short and not extendable does not allow them to have control of, and access to space for social relations.</w:t>
            </w:r>
          </w:p>
        </w:tc>
      </w:tr>
      <w:tr w:rsidR="00B764FC" w14:paraId="1BC6AA9E" w14:textId="77777777">
        <w:tc>
          <w:tcPr>
            <w:tcW w:w="2694" w:type="dxa"/>
            <w:tcBorders>
              <w:left w:val="nil"/>
              <w:right w:val="nil"/>
            </w:tcBorders>
          </w:tcPr>
          <w:p w14:paraId="41D26CE4" w14:textId="77777777" w:rsidR="00B764FC" w:rsidRDefault="00B764FC">
            <w:pPr>
              <w:rPr>
                <w:b/>
                <w:bCs/>
                <w:sz w:val="20"/>
                <w:szCs w:val="20"/>
              </w:rPr>
            </w:pPr>
            <w:r>
              <w:rPr>
                <w:b/>
                <w:bCs/>
                <w:sz w:val="20"/>
                <w:szCs w:val="20"/>
              </w:rPr>
              <w:t>Household</w:t>
            </w:r>
          </w:p>
          <w:p w14:paraId="40A83401" w14:textId="77777777" w:rsidR="00B764FC" w:rsidRDefault="00B764FC">
            <w:pPr>
              <w:rPr>
                <w:b/>
                <w:bCs/>
                <w:sz w:val="20"/>
                <w:szCs w:val="20"/>
              </w:rPr>
            </w:pPr>
          </w:p>
        </w:tc>
        <w:tc>
          <w:tcPr>
            <w:tcW w:w="6520" w:type="dxa"/>
            <w:tcBorders>
              <w:left w:val="nil"/>
              <w:right w:val="nil"/>
            </w:tcBorders>
          </w:tcPr>
          <w:p w14:paraId="0FDFE7A7" w14:textId="77777777" w:rsidR="00B764FC" w:rsidRDefault="00B764FC">
            <w:pPr>
              <w:rPr>
                <w:sz w:val="20"/>
                <w:szCs w:val="20"/>
              </w:rPr>
            </w:pPr>
            <w:r>
              <w:rPr>
                <w:sz w:val="20"/>
                <w:szCs w:val="20"/>
              </w:rPr>
              <w:t>One or more persons, at least one of whom is at least 15 years of age, usually resident in the same private dwelling. The people in a household may or may not be related. They must live wholly within one dwelling.</w:t>
            </w:r>
          </w:p>
        </w:tc>
      </w:tr>
      <w:tr w:rsidR="00B764FC" w14:paraId="4CF06ED7" w14:textId="77777777">
        <w:tc>
          <w:tcPr>
            <w:tcW w:w="2694" w:type="dxa"/>
            <w:tcBorders>
              <w:left w:val="nil"/>
              <w:right w:val="nil"/>
            </w:tcBorders>
          </w:tcPr>
          <w:p w14:paraId="2F8C24AC" w14:textId="77777777" w:rsidR="00B764FC" w:rsidRDefault="00B764FC">
            <w:pPr>
              <w:rPr>
                <w:b/>
                <w:bCs/>
                <w:sz w:val="20"/>
                <w:szCs w:val="20"/>
              </w:rPr>
            </w:pPr>
            <w:r>
              <w:rPr>
                <w:b/>
                <w:bCs/>
                <w:sz w:val="20"/>
                <w:szCs w:val="20"/>
              </w:rPr>
              <w:t>Housing need</w:t>
            </w:r>
          </w:p>
          <w:p w14:paraId="2E67B9F2" w14:textId="77777777" w:rsidR="00B764FC" w:rsidRDefault="00B764FC">
            <w:pPr>
              <w:rPr>
                <w:b/>
                <w:bCs/>
                <w:sz w:val="20"/>
                <w:szCs w:val="20"/>
              </w:rPr>
            </w:pPr>
          </w:p>
        </w:tc>
        <w:tc>
          <w:tcPr>
            <w:tcW w:w="6520" w:type="dxa"/>
            <w:tcBorders>
              <w:left w:val="nil"/>
              <w:right w:val="nil"/>
            </w:tcBorders>
          </w:tcPr>
          <w:p w14:paraId="5C553C20" w14:textId="77777777" w:rsidR="00B764FC" w:rsidRDefault="00B764FC">
            <w:pPr>
              <w:rPr>
                <w:sz w:val="20"/>
                <w:szCs w:val="20"/>
              </w:rPr>
            </w:pPr>
            <w:r>
              <w:rPr>
                <w:sz w:val="20"/>
                <w:szCs w:val="20"/>
              </w:rPr>
              <w:t>A household is in housing need if its housing falls below at least one of the adequacy, affordability or suitability, standards and it would have to spend 30 per cent or more of its total before-tax income to pay the median rent of alternative local housing that is acceptable. Adequate is reported by residents as not requiring any major repairs. Affordable housing costs less than 30 per cent of total before-tax household income. Suitable housing has enough bedrooms for the size and make-up of resident households, according to National Occupancy Standard (NOS) requirements.</w:t>
            </w:r>
          </w:p>
        </w:tc>
      </w:tr>
      <w:tr w:rsidR="00B764FC" w14:paraId="58AA5FEF" w14:textId="77777777">
        <w:tc>
          <w:tcPr>
            <w:tcW w:w="2694" w:type="dxa"/>
            <w:tcBorders>
              <w:left w:val="nil"/>
              <w:right w:val="nil"/>
            </w:tcBorders>
          </w:tcPr>
          <w:p w14:paraId="3ED9186E" w14:textId="77777777" w:rsidR="00B764FC" w:rsidRDefault="00B764FC">
            <w:pPr>
              <w:rPr>
                <w:b/>
                <w:bCs/>
                <w:sz w:val="20"/>
                <w:szCs w:val="20"/>
              </w:rPr>
            </w:pPr>
            <w:r>
              <w:rPr>
                <w:b/>
                <w:bCs/>
                <w:sz w:val="20"/>
                <w:szCs w:val="20"/>
              </w:rPr>
              <w:t>Low-income household</w:t>
            </w:r>
          </w:p>
          <w:p w14:paraId="298B0423" w14:textId="77777777" w:rsidR="00B764FC" w:rsidRDefault="00B764FC">
            <w:pPr>
              <w:rPr>
                <w:b/>
                <w:bCs/>
                <w:sz w:val="20"/>
                <w:szCs w:val="20"/>
              </w:rPr>
            </w:pPr>
          </w:p>
        </w:tc>
        <w:tc>
          <w:tcPr>
            <w:tcW w:w="6520" w:type="dxa"/>
            <w:tcBorders>
              <w:left w:val="nil"/>
              <w:right w:val="nil"/>
            </w:tcBorders>
          </w:tcPr>
          <w:p w14:paraId="552A73D4" w14:textId="77777777" w:rsidR="00B764FC" w:rsidRDefault="00B764FC">
            <w:pPr>
              <w:rPr>
                <w:sz w:val="20"/>
                <w:szCs w:val="20"/>
              </w:rPr>
            </w:pPr>
            <w:r>
              <w:rPr>
                <w:sz w:val="20"/>
                <w:szCs w:val="20"/>
              </w:rPr>
              <w:t>A household with income in the bottom 20 per cent of all household income distribution</w:t>
            </w:r>
          </w:p>
        </w:tc>
      </w:tr>
      <w:tr w:rsidR="00B764FC" w14:paraId="37AA1D6A" w14:textId="77777777">
        <w:tc>
          <w:tcPr>
            <w:tcW w:w="2694" w:type="dxa"/>
            <w:tcBorders>
              <w:left w:val="nil"/>
              <w:right w:val="nil"/>
            </w:tcBorders>
          </w:tcPr>
          <w:p w14:paraId="1B2F3E73" w14:textId="77777777" w:rsidR="00B764FC" w:rsidRDefault="00B764FC">
            <w:pPr>
              <w:rPr>
                <w:b/>
                <w:bCs/>
                <w:sz w:val="20"/>
                <w:szCs w:val="20"/>
              </w:rPr>
            </w:pPr>
            <w:r>
              <w:rPr>
                <w:b/>
                <w:bCs/>
                <w:sz w:val="20"/>
                <w:szCs w:val="20"/>
              </w:rPr>
              <w:t>Moderate income household</w:t>
            </w:r>
          </w:p>
          <w:p w14:paraId="7E7B8775" w14:textId="77777777" w:rsidR="00B764FC" w:rsidRDefault="00B764FC">
            <w:pPr>
              <w:rPr>
                <w:b/>
                <w:bCs/>
                <w:sz w:val="20"/>
                <w:szCs w:val="20"/>
              </w:rPr>
            </w:pPr>
          </w:p>
        </w:tc>
        <w:tc>
          <w:tcPr>
            <w:tcW w:w="6520" w:type="dxa"/>
            <w:tcBorders>
              <w:left w:val="nil"/>
              <w:right w:val="nil"/>
            </w:tcBorders>
          </w:tcPr>
          <w:p w14:paraId="640890DB" w14:textId="77777777" w:rsidR="00B764FC" w:rsidRDefault="00B764FC">
            <w:pPr>
              <w:rPr>
                <w:sz w:val="20"/>
                <w:szCs w:val="20"/>
              </w:rPr>
            </w:pPr>
            <w:r>
              <w:rPr>
                <w:sz w:val="20"/>
                <w:szCs w:val="20"/>
              </w:rPr>
              <w:t>A household with income in the second income quintile (21–40%) of all household income distribution</w:t>
            </w:r>
          </w:p>
        </w:tc>
      </w:tr>
      <w:tr w:rsidR="00B764FC" w14:paraId="673E887E" w14:textId="77777777">
        <w:tc>
          <w:tcPr>
            <w:tcW w:w="2694" w:type="dxa"/>
            <w:tcBorders>
              <w:left w:val="nil"/>
              <w:right w:val="nil"/>
            </w:tcBorders>
          </w:tcPr>
          <w:p w14:paraId="14374F04" w14:textId="77777777" w:rsidR="00B764FC" w:rsidRDefault="00B764FC">
            <w:pPr>
              <w:rPr>
                <w:b/>
                <w:bCs/>
                <w:sz w:val="20"/>
                <w:szCs w:val="20"/>
              </w:rPr>
            </w:pPr>
            <w:r>
              <w:rPr>
                <w:b/>
                <w:bCs/>
                <w:sz w:val="20"/>
                <w:szCs w:val="20"/>
              </w:rPr>
              <w:t>National Affordable Housing Agreement (NAHA)</w:t>
            </w:r>
          </w:p>
        </w:tc>
        <w:tc>
          <w:tcPr>
            <w:tcW w:w="6520" w:type="dxa"/>
            <w:tcBorders>
              <w:left w:val="nil"/>
              <w:right w:val="nil"/>
            </w:tcBorders>
          </w:tcPr>
          <w:p w14:paraId="28DF0853" w14:textId="77777777" w:rsidR="00B764FC" w:rsidRDefault="00B764FC">
            <w:pPr>
              <w:rPr>
                <w:sz w:val="20"/>
                <w:szCs w:val="20"/>
              </w:rPr>
            </w:pPr>
            <w:r>
              <w:rPr>
                <w:sz w:val="20"/>
                <w:szCs w:val="20"/>
              </w:rPr>
              <w:t>From 1 January 2009, government response to homelessness is administered under the NAHA and the National Partnership Agreement on Homelessness (NPAH).</w:t>
            </w:r>
          </w:p>
          <w:p w14:paraId="0F4F10A7" w14:textId="77777777" w:rsidR="00B764FC" w:rsidRDefault="00B764FC">
            <w:pPr>
              <w:rPr>
                <w:sz w:val="20"/>
                <w:szCs w:val="20"/>
              </w:rPr>
            </w:pPr>
          </w:p>
        </w:tc>
      </w:tr>
      <w:tr w:rsidR="00B764FC" w14:paraId="0642F1DE" w14:textId="77777777">
        <w:tc>
          <w:tcPr>
            <w:tcW w:w="2694" w:type="dxa"/>
            <w:tcBorders>
              <w:left w:val="nil"/>
              <w:right w:val="nil"/>
            </w:tcBorders>
          </w:tcPr>
          <w:p w14:paraId="650741F5" w14:textId="77777777" w:rsidR="00B764FC" w:rsidRDefault="00B764FC">
            <w:pPr>
              <w:rPr>
                <w:b/>
                <w:bCs/>
                <w:sz w:val="20"/>
                <w:szCs w:val="20"/>
              </w:rPr>
            </w:pPr>
            <w:r>
              <w:rPr>
                <w:b/>
                <w:bCs/>
                <w:sz w:val="20"/>
                <w:szCs w:val="20"/>
              </w:rPr>
              <w:lastRenderedPageBreak/>
              <w:t>National Partnership Agreement on Homelessness (NPAH)</w:t>
            </w:r>
          </w:p>
        </w:tc>
        <w:tc>
          <w:tcPr>
            <w:tcW w:w="6520" w:type="dxa"/>
            <w:tcBorders>
              <w:left w:val="nil"/>
              <w:right w:val="nil"/>
            </w:tcBorders>
          </w:tcPr>
          <w:p w14:paraId="627A3B54" w14:textId="77777777" w:rsidR="00B764FC" w:rsidRDefault="00B764FC">
            <w:pPr>
              <w:rPr>
                <w:sz w:val="20"/>
                <w:szCs w:val="20"/>
              </w:rPr>
            </w:pPr>
            <w:r>
              <w:rPr>
                <w:sz w:val="20"/>
                <w:szCs w:val="20"/>
              </w:rPr>
              <w:t>The National Partnership Agreement on Homelessness (NPAH) commenced in January 2009. Under the current agreement the Australian and state and territory governments have committed to provide $1.1 billion in funding. It contributes to the National Affordable Housing Agreement outcome, to help people who are homeless or at risk of homelessness achieve sustainable housing and social inclusion.</w:t>
            </w:r>
          </w:p>
        </w:tc>
      </w:tr>
      <w:tr w:rsidR="00B764FC" w14:paraId="2ADA1136" w14:textId="77777777">
        <w:tc>
          <w:tcPr>
            <w:tcW w:w="2694" w:type="dxa"/>
            <w:tcBorders>
              <w:left w:val="nil"/>
              <w:right w:val="nil"/>
            </w:tcBorders>
          </w:tcPr>
          <w:p w14:paraId="514577C9" w14:textId="77777777" w:rsidR="00B764FC" w:rsidRDefault="00B764FC">
            <w:pPr>
              <w:rPr>
                <w:b/>
                <w:bCs/>
                <w:sz w:val="20"/>
                <w:szCs w:val="20"/>
              </w:rPr>
            </w:pPr>
            <w:r>
              <w:rPr>
                <w:b/>
                <w:bCs/>
                <w:sz w:val="20"/>
                <w:szCs w:val="20"/>
              </w:rPr>
              <w:t>National Rental Affordability Scheme (NRAS)</w:t>
            </w:r>
          </w:p>
        </w:tc>
        <w:tc>
          <w:tcPr>
            <w:tcW w:w="6520" w:type="dxa"/>
            <w:tcBorders>
              <w:left w:val="nil"/>
              <w:right w:val="nil"/>
            </w:tcBorders>
          </w:tcPr>
          <w:p w14:paraId="71114550" w14:textId="4A4FD28C" w:rsidR="00B764FC" w:rsidRDefault="00B764FC">
            <w:pPr>
              <w:rPr>
                <w:sz w:val="20"/>
                <w:szCs w:val="20"/>
              </w:rPr>
            </w:pPr>
            <w:r>
              <w:rPr>
                <w:sz w:val="20"/>
                <w:szCs w:val="20"/>
              </w:rPr>
              <w:t>A Commonwealth Government scheme that commenced on 1 July 2008, providing annual incentives (tax credits—if paying tax, grants—if not paying tax) to investors for 10 years to create 50 000 new affordable rental properties rented to low-income and moderate-income households at 20 per cent below local area market rents. The scheme was stopped for new property incentives in 2014, and as a result </w:t>
            </w:r>
            <w:hyperlink r:id="rId32" w:tooltip="NRAS Performance report - Dept. of Social Services" w:history="1">
              <w:r>
                <w:rPr>
                  <w:rStyle w:val="Hyperlink"/>
                  <w:color w:val="auto"/>
                  <w:sz w:val="18"/>
                  <w:szCs w:val="18"/>
                  <w:u w:val="none"/>
                </w:rPr>
                <w:t>37142 dwellings will be built</w:t>
              </w:r>
            </w:hyperlink>
          </w:p>
          <w:p w14:paraId="3E9D1276" w14:textId="77777777" w:rsidR="00B764FC" w:rsidRDefault="00B764FC">
            <w:pPr>
              <w:rPr>
                <w:sz w:val="20"/>
                <w:szCs w:val="20"/>
              </w:rPr>
            </w:pPr>
          </w:p>
        </w:tc>
      </w:tr>
      <w:tr w:rsidR="00B764FC" w14:paraId="3045BD15" w14:textId="77777777">
        <w:tc>
          <w:tcPr>
            <w:tcW w:w="2694" w:type="dxa"/>
            <w:tcBorders>
              <w:left w:val="nil"/>
              <w:right w:val="nil"/>
            </w:tcBorders>
          </w:tcPr>
          <w:p w14:paraId="0AD2FE04" w14:textId="77777777" w:rsidR="00B764FC" w:rsidRDefault="00B764FC">
            <w:pPr>
              <w:rPr>
                <w:b/>
                <w:bCs/>
                <w:sz w:val="20"/>
                <w:szCs w:val="20"/>
              </w:rPr>
            </w:pPr>
            <w:r>
              <w:rPr>
                <w:b/>
                <w:bCs/>
                <w:sz w:val="20"/>
                <w:szCs w:val="20"/>
              </w:rPr>
              <w:t>Not-for-profit sector</w:t>
            </w:r>
          </w:p>
        </w:tc>
        <w:tc>
          <w:tcPr>
            <w:tcW w:w="6520" w:type="dxa"/>
            <w:tcBorders>
              <w:left w:val="nil"/>
              <w:right w:val="nil"/>
            </w:tcBorders>
          </w:tcPr>
          <w:p w14:paraId="5B67982C" w14:textId="77777777" w:rsidR="00B764FC" w:rsidRDefault="00B764FC">
            <w:pPr>
              <w:rPr>
                <w:sz w:val="20"/>
                <w:szCs w:val="20"/>
              </w:rPr>
            </w:pPr>
            <w:r>
              <w:rPr>
                <w:sz w:val="20"/>
                <w:szCs w:val="20"/>
              </w:rPr>
              <w:t>Community organisations providing a broad range of social services, including in relation to homelessness, housing, education, health, conservation and recreation.</w:t>
            </w:r>
          </w:p>
        </w:tc>
      </w:tr>
      <w:tr w:rsidR="00B764FC" w14:paraId="60BBE8FB" w14:textId="77777777">
        <w:tc>
          <w:tcPr>
            <w:tcW w:w="2694" w:type="dxa"/>
            <w:tcBorders>
              <w:left w:val="nil"/>
              <w:right w:val="nil"/>
            </w:tcBorders>
          </w:tcPr>
          <w:p w14:paraId="7E739415" w14:textId="77777777" w:rsidR="00B764FC" w:rsidRDefault="00B764FC">
            <w:pPr>
              <w:rPr>
                <w:b/>
                <w:bCs/>
                <w:sz w:val="20"/>
                <w:szCs w:val="20"/>
              </w:rPr>
            </w:pPr>
            <w:r>
              <w:rPr>
                <w:b/>
                <w:bCs/>
                <w:sz w:val="20"/>
                <w:szCs w:val="20"/>
              </w:rPr>
              <w:t>Public housing</w:t>
            </w:r>
          </w:p>
        </w:tc>
        <w:tc>
          <w:tcPr>
            <w:tcW w:w="6520" w:type="dxa"/>
            <w:tcBorders>
              <w:left w:val="nil"/>
              <w:right w:val="nil"/>
            </w:tcBorders>
          </w:tcPr>
          <w:p w14:paraId="3304F871" w14:textId="77777777" w:rsidR="00B764FC" w:rsidRDefault="00B764FC">
            <w:pPr>
              <w:rPr>
                <w:sz w:val="20"/>
                <w:szCs w:val="20"/>
              </w:rPr>
            </w:pPr>
            <w:r>
              <w:rPr>
                <w:sz w:val="20"/>
                <w:szCs w:val="20"/>
              </w:rPr>
              <w:t>A form of long-term rental housing managed by the State Government and targeted at people on low incomes or with special needs</w:t>
            </w:r>
          </w:p>
        </w:tc>
      </w:tr>
      <w:tr w:rsidR="00B764FC" w14:paraId="381D2F24" w14:textId="77777777">
        <w:tc>
          <w:tcPr>
            <w:tcW w:w="2694" w:type="dxa"/>
            <w:tcBorders>
              <w:left w:val="nil"/>
              <w:right w:val="nil"/>
            </w:tcBorders>
          </w:tcPr>
          <w:p w14:paraId="23E5CE89" w14:textId="77777777" w:rsidR="00B764FC" w:rsidRDefault="00B764FC">
            <w:pPr>
              <w:rPr>
                <w:b/>
                <w:bCs/>
                <w:sz w:val="20"/>
                <w:szCs w:val="20"/>
              </w:rPr>
            </w:pPr>
            <w:r>
              <w:rPr>
                <w:b/>
                <w:bCs/>
                <w:sz w:val="20"/>
                <w:szCs w:val="20"/>
              </w:rPr>
              <w:t>Quintile</w:t>
            </w:r>
          </w:p>
          <w:p w14:paraId="42312015" w14:textId="77777777" w:rsidR="00B764FC" w:rsidRDefault="00B764FC">
            <w:pPr>
              <w:rPr>
                <w:b/>
                <w:bCs/>
                <w:sz w:val="20"/>
                <w:szCs w:val="20"/>
              </w:rPr>
            </w:pPr>
          </w:p>
        </w:tc>
        <w:tc>
          <w:tcPr>
            <w:tcW w:w="6520" w:type="dxa"/>
            <w:tcBorders>
              <w:left w:val="nil"/>
              <w:right w:val="nil"/>
            </w:tcBorders>
          </w:tcPr>
          <w:p w14:paraId="71A895F3" w14:textId="77777777" w:rsidR="00B764FC" w:rsidRDefault="00B764FC">
            <w:pPr>
              <w:rPr>
                <w:sz w:val="20"/>
                <w:szCs w:val="20"/>
              </w:rPr>
            </w:pPr>
            <w:r>
              <w:rPr>
                <w:sz w:val="20"/>
                <w:szCs w:val="20"/>
              </w:rPr>
              <w:t>A proportion of a set of data that has been ranked and divided into five groups, each of which contains an equal number of data items. For example, Housing Affordability Stress is assessed for households in the bottom two quintiles (i.e. the bottom 40%) of the income distribution.</w:t>
            </w:r>
          </w:p>
          <w:p w14:paraId="6B8D80B0" w14:textId="77777777" w:rsidR="00B764FC" w:rsidRDefault="00B764FC">
            <w:pPr>
              <w:rPr>
                <w:sz w:val="20"/>
                <w:szCs w:val="20"/>
              </w:rPr>
            </w:pPr>
            <w:r>
              <w:rPr>
                <w:sz w:val="20"/>
                <w:szCs w:val="20"/>
              </w:rPr>
              <w:t>Q1 households are those earning in the bottom quintile (0–20%) of Australia's income distribution.</w:t>
            </w:r>
          </w:p>
          <w:p w14:paraId="2E8ED20E" w14:textId="77777777" w:rsidR="00B764FC" w:rsidRDefault="00B764FC">
            <w:pPr>
              <w:rPr>
                <w:sz w:val="20"/>
                <w:szCs w:val="20"/>
              </w:rPr>
            </w:pPr>
            <w:r>
              <w:rPr>
                <w:sz w:val="20"/>
                <w:szCs w:val="20"/>
              </w:rPr>
              <w:t>Q2 households are those earning in the second quintile (21–40%) of Australia's income distribution.</w:t>
            </w:r>
          </w:p>
        </w:tc>
      </w:tr>
      <w:tr w:rsidR="00B764FC" w14:paraId="3C3B9B4B" w14:textId="77777777">
        <w:tc>
          <w:tcPr>
            <w:tcW w:w="2694" w:type="dxa"/>
            <w:tcBorders>
              <w:left w:val="nil"/>
              <w:right w:val="nil"/>
            </w:tcBorders>
          </w:tcPr>
          <w:p w14:paraId="52A63991" w14:textId="77777777" w:rsidR="00B764FC" w:rsidRDefault="00B764FC">
            <w:pPr>
              <w:rPr>
                <w:b/>
                <w:bCs/>
                <w:sz w:val="20"/>
                <w:szCs w:val="20"/>
              </w:rPr>
            </w:pPr>
            <w:r>
              <w:rPr>
                <w:b/>
                <w:bCs/>
                <w:sz w:val="20"/>
                <w:szCs w:val="20"/>
              </w:rPr>
              <w:t>Renewal</w:t>
            </w:r>
          </w:p>
          <w:p w14:paraId="4DFB4013" w14:textId="77777777" w:rsidR="00B764FC" w:rsidRDefault="00B764FC">
            <w:pPr>
              <w:rPr>
                <w:b/>
                <w:bCs/>
                <w:sz w:val="20"/>
                <w:szCs w:val="20"/>
              </w:rPr>
            </w:pPr>
          </w:p>
        </w:tc>
        <w:tc>
          <w:tcPr>
            <w:tcW w:w="6520" w:type="dxa"/>
            <w:tcBorders>
              <w:left w:val="nil"/>
              <w:right w:val="nil"/>
            </w:tcBorders>
          </w:tcPr>
          <w:p w14:paraId="3AD5EEEC" w14:textId="77777777" w:rsidR="00B764FC" w:rsidRDefault="00B764FC">
            <w:pPr>
              <w:rPr>
                <w:sz w:val="20"/>
                <w:szCs w:val="20"/>
              </w:rPr>
            </w:pPr>
            <w:r>
              <w:rPr>
                <w:sz w:val="20"/>
                <w:szCs w:val="20"/>
              </w:rPr>
              <w:t>The process whereby existing, ageing public housing estates or buildings are redeveloped to improve both housing outcomes for public housing tenants and the neighbourhood’s amenity</w:t>
            </w:r>
          </w:p>
        </w:tc>
      </w:tr>
      <w:tr w:rsidR="00B764FC" w14:paraId="725F05FE" w14:textId="77777777">
        <w:tc>
          <w:tcPr>
            <w:tcW w:w="2694" w:type="dxa"/>
            <w:tcBorders>
              <w:left w:val="nil"/>
              <w:right w:val="nil"/>
            </w:tcBorders>
          </w:tcPr>
          <w:p w14:paraId="55C151A1" w14:textId="77777777" w:rsidR="00B764FC" w:rsidRDefault="00B764FC">
            <w:pPr>
              <w:rPr>
                <w:b/>
                <w:bCs/>
                <w:sz w:val="20"/>
                <w:szCs w:val="20"/>
              </w:rPr>
            </w:pPr>
            <w:r>
              <w:rPr>
                <w:b/>
                <w:bCs/>
                <w:sz w:val="20"/>
                <w:szCs w:val="20"/>
              </w:rPr>
              <w:t>Social housing</w:t>
            </w:r>
          </w:p>
        </w:tc>
        <w:tc>
          <w:tcPr>
            <w:tcW w:w="6520" w:type="dxa"/>
            <w:tcBorders>
              <w:left w:val="nil"/>
              <w:right w:val="nil"/>
            </w:tcBorders>
          </w:tcPr>
          <w:p w14:paraId="74656EF8" w14:textId="77777777" w:rsidR="00B764FC" w:rsidRDefault="00B764FC">
            <w:pPr>
              <w:rPr>
                <w:sz w:val="20"/>
                <w:szCs w:val="20"/>
              </w:rPr>
            </w:pPr>
            <w:r>
              <w:rPr>
                <w:sz w:val="20"/>
                <w:szCs w:val="20"/>
              </w:rPr>
              <w:t>An umbrella term that refers to public housing, delivered by the State Government, and community housing, delivered by community housing providers.</w:t>
            </w:r>
          </w:p>
        </w:tc>
      </w:tr>
      <w:tr w:rsidR="00B764FC" w14:paraId="0C4925CA" w14:textId="77777777">
        <w:tc>
          <w:tcPr>
            <w:tcW w:w="2694" w:type="dxa"/>
            <w:tcBorders>
              <w:left w:val="nil"/>
              <w:right w:val="nil"/>
            </w:tcBorders>
          </w:tcPr>
          <w:p w14:paraId="4275E2AD" w14:textId="77777777" w:rsidR="00B764FC" w:rsidRDefault="00B764FC">
            <w:pPr>
              <w:rPr>
                <w:b/>
                <w:bCs/>
                <w:sz w:val="20"/>
                <w:szCs w:val="20"/>
              </w:rPr>
            </w:pPr>
            <w:r>
              <w:rPr>
                <w:b/>
                <w:bCs/>
                <w:sz w:val="20"/>
                <w:szCs w:val="20"/>
              </w:rPr>
              <w:t>Shared equity</w:t>
            </w:r>
          </w:p>
        </w:tc>
        <w:tc>
          <w:tcPr>
            <w:tcW w:w="6520" w:type="dxa"/>
            <w:tcBorders>
              <w:left w:val="nil"/>
              <w:right w:val="nil"/>
            </w:tcBorders>
          </w:tcPr>
          <w:p w14:paraId="3F85D500" w14:textId="77777777" w:rsidR="00B764FC" w:rsidRDefault="00B764FC">
            <w:pPr>
              <w:rPr>
                <w:sz w:val="20"/>
                <w:szCs w:val="20"/>
              </w:rPr>
            </w:pPr>
            <w:r>
              <w:rPr>
                <w:sz w:val="20"/>
                <w:szCs w:val="20"/>
              </w:rPr>
              <w:t>An umbrella term that refers to a range of initiatives which ‘enable the division of the value of a dwelling between more than one legal entity’ (Whitehead and Yates 2007 p16)</w:t>
            </w:r>
          </w:p>
        </w:tc>
      </w:tr>
      <w:tr w:rsidR="00B764FC" w14:paraId="3E0450D3" w14:textId="77777777">
        <w:tc>
          <w:tcPr>
            <w:tcW w:w="2694" w:type="dxa"/>
            <w:tcBorders>
              <w:left w:val="nil"/>
              <w:right w:val="nil"/>
            </w:tcBorders>
          </w:tcPr>
          <w:p w14:paraId="6D3B601E" w14:textId="77777777" w:rsidR="00B764FC" w:rsidRDefault="00B764FC">
            <w:pPr>
              <w:rPr>
                <w:b/>
                <w:bCs/>
                <w:sz w:val="20"/>
                <w:szCs w:val="20"/>
              </w:rPr>
            </w:pPr>
            <w:r>
              <w:rPr>
                <w:b/>
                <w:bCs/>
                <w:sz w:val="20"/>
                <w:szCs w:val="20"/>
              </w:rPr>
              <w:t>Social inclusion</w:t>
            </w:r>
          </w:p>
        </w:tc>
        <w:tc>
          <w:tcPr>
            <w:tcW w:w="6520" w:type="dxa"/>
            <w:tcBorders>
              <w:left w:val="nil"/>
              <w:right w:val="nil"/>
            </w:tcBorders>
          </w:tcPr>
          <w:p w14:paraId="19E33F69" w14:textId="77777777" w:rsidR="00B764FC" w:rsidRDefault="00B764FC">
            <w:pPr>
              <w:rPr>
                <w:sz w:val="20"/>
                <w:szCs w:val="20"/>
              </w:rPr>
            </w:pPr>
            <w:r>
              <w:rPr>
                <w:sz w:val="20"/>
                <w:szCs w:val="20"/>
              </w:rPr>
              <w:t>In the Australian policy context, social inclusion is conceptualised as the opportunity to participate in society through employment and access to services, connect with family, friends and the local community, deal with personal crises and be heard.</w:t>
            </w:r>
          </w:p>
        </w:tc>
      </w:tr>
      <w:tr w:rsidR="00B764FC" w14:paraId="2AB48BD7" w14:textId="77777777">
        <w:tc>
          <w:tcPr>
            <w:tcW w:w="2694" w:type="dxa"/>
            <w:tcBorders>
              <w:left w:val="nil"/>
              <w:right w:val="nil"/>
            </w:tcBorders>
          </w:tcPr>
          <w:p w14:paraId="469D728A" w14:textId="77777777" w:rsidR="00B764FC" w:rsidRDefault="00B764FC">
            <w:pPr>
              <w:rPr>
                <w:b/>
                <w:bCs/>
                <w:sz w:val="20"/>
                <w:szCs w:val="20"/>
              </w:rPr>
            </w:pPr>
            <w:r>
              <w:rPr>
                <w:b/>
                <w:bCs/>
                <w:sz w:val="20"/>
                <w:szCs w:val="20"/>
              </w:rPr>
              <w:t>Social mix</w:t>
            </w:r>
          </w:p>
        </w:tc>
        <w:tc>
          <w:tcPr>
            <w:tcW w:w="6520" w:type="dxa"/>
            <w:tcBorders>
              <w:left w:val="nil"/>
              <w:right w:val="nil"/>
            </w:tcBorders>
          </w:tcPr>
          <w:p w14:paraId="213FE157" w14:textId="77777777" w:rsidR="00B764FC" w:rsidRDefault="00B764FC">
            <w:pPr>
              <w:rPr>
                <w:sz w:val="20"/>
                <w:szCs w:val="20"/>
              </w:rPr>
            </w:pPr>
            <w:r>
              <w:rPr>
                <w:sz w:val="20"/>
                <w:szCs w:val="20"/>
              </w:rPr>
              <w:t>Defined as a ‘combination of diverse shares of social groups in a neighbourhood’. A social group has one or more factors in common, such as having similar economic resources (i.e. having low- or high-income), the same ethnic background or nativity (i.e. born in the same country), the same household structure (e.g. families with children or households of young singles) or the same tenure (i.e. being tenants or home owners/buyers).</w:t>
            </w:r>
          </w:p>
        </w:tc>
      </w:tr>
      <w:tr w:rsidR="00B764FC" w14:paraId="54094637" w14:textId="77777777">
        <w:tc>
          <w:tcPr>
            <w:tcW w:w="2694" w:type="dxa"/>
            <w:tcBorders>
              <w:left w:val="nil"/>
              <w:right w:val="nil"/>
            </w:tcBorders>
          </w:tcPr>
          <w:p w14:paraId="6B658AA6" w14:textId="77777777" w:rsidR="00B764FC" w:rsidRDefault="00B764FC">
            <w:pPr>
              <w:rPr>
                <w:b/>
                <w:bCs/>
                <w:sz w:val="20"/>
                <w:szCs w:val="20"/>
              </w:rPr>
            </w:pPr>
            <w:r>
              <w:rPr>
                <w:b/>
                <w:bCs/>
                <w:sz w:val="20"/>
                <w:szCs w:val="20"/>
              </w:rPr>
              <w:t>Supply side assistance</w:t>
            </w:r>
          </w:p>
        </w:tc>
        <w:tc>
          <w:tcPr>
            <w:tcW w:w="6520" w:type="dxa"/>
            <w:tcBorders>
              <w:left w:val="nil"/>
              <w:right w:val="nil"/>
            </w:tcBorders>
          </w:tcPr>
          <w:p w14:paraId="3184F073" w14:textId="77777777" w:rsidR="00B764FC" w:rsidRDefault="00B764FC">
            <w:pPr>
              <w:rPr>
                <w:sz w:val="20"/>
                <w:szCs w:val="20"/>
              </w:rPr>
            </w:pPr>
            <w:r>
              <w:rPr>
                <w:sz w:val="20"/>
                <w:szCs w:val="20"/>
              </w:rPr>
              <w:t>Forms of housing assistance given to providers, not consumers, of housing to help increase the quantity or quality of housing (e.g. National Rental Affordability Scheme).</w:t>
            </w:r>
          </w:p>
        </w:tc>
      </w:tr>
      <w:tr w:rsidR="00B764FC" w14:paraId="1C5B8950" w14:textId="77777777">
        <w:tc>
          <w:tcPr>
            <w:tcW w:w="2694" w:type="dxa"/>
            <w:tcBorders>
              <w:left w:val="nil"/>
              <w:right w:val="nil"/>
            </w:tcBorders>
          </w:tcPr>
          <w:p w14:paraId="02D78F0A" w14:textId="77777777" w:rsidR="00B764FC" w:rsidRDefault="00B764FC">
            <w:pPr>
              <w:rPr>
                <w:b/>
                <w:bCs/>
                <w:sz w:val="20"/>
                <w:szCs w:val="20"/>
              </w:rPr>
            </w:pPr>
            <w:r>
              <w:rPr>
                <w:b/>
                <w:bCs/>
                <w:sz w:val="20"/>
                <w:szCs w:val="20"/>
              </w:rPr>
              <w:t>Supported Housing</w:t>
            </w:r>
          </w:p>
        </w:tc>
        <w:tc>
          <w:tcPr>
            <w:tcW w:w="6520" w:type="dxa"/>
            <w:tcBorders>
              <w:left w:val="nil"/>
              <w:right w:val="nil"/>
            </w:tcBorders>
          </w:tcPr>
          <w:p w14:paraId="22972B0E" w14:textId="77777777" w:rsidR="00B764FC" w:rsidRDefault="00B764FC">
            <w:pPr>
              <w:rPr>
                <w:sz w:val="20"/>
                <w:szCs w:val="20"/>
              </w:rPr>
            </w:pPr>
            <w:r>
              <w:rPr>
                <w:sz w:val="20"/>
                <w:szCs w:val="20"/>
              </w:rPr>
              <w:t>Supported Housing is a type of Community Housing targeted to households in high need, including people who are often homeless or at-risk. It is coupled with other support services, and owned and managed by the government and/or a non-government housing provider.</w:t>
            </w:r>
          </w:p>
        </w:tc>
      </w:tr>
      <w:tr w:rsidR="00B764FC" w14:paraId="1378326C" w14:textId="77777777">
        <w:tc>
          <w:tcPr>
            <w:tcW w:w="2694" w:type="dxa"/>
            <w:tcBorders>
              <w:left w:val="nil"/>
              <w:right w:val="nil"/>
            </w:tcBorders>
          </w:tcPr>
          <w:p w14:paraId="7EAF88A4" w14:textId="77777777" w:rsidR="00B764FC" w:rsidRDefault="00B764FC">
            <w:pPr>
              <w:rPr>
                <w:b/>
                <w:bCs/>
                <w:sz w:val="20"/>
                <w:szCs w:val="20"/>
              </w:rPr>
            </w:pPr>
            <w:r>
              <w:rPr>
                <w:b/>
                <w:bCs/>
                <w:sz w:val="20"/>
                <w:szCs w:val="20"/>
              </w:rPr>
              <w:lastRenderedPageBreak/>
              <w:t>Tenancy support services</w:t>
            </w:r>
          </w:p>
        </w:tc>
        <w:tc>
          <w:tcPr>
            <w:tcW w:w="6520" w:type="dxa"/>
            <w:tcBorders>
              <w:left w:val="nil"/>
              <w:right w:val="nil"/>
            </w:tcBorders>
          </w:tcPr>
          <w:p w14:paraId="2F19FFD4" w14:textId="77777777" w:rsidR="00B764FC" w:rsidRDefault="00B764FC">
            <w:pPr>
              <w:rPr>
                <w:sz w:val="20"/>
                <w:szCs w:val="20"/>
              </w:rPr>
            </w:pPr>
            <w:r>
              <w:rPr>
                <w:sz w:val="20"/>
                <w:szCs w:val="20"/>
              </w:rPr>
              <w:t>Services provided to assist those at risk of homelessness with existing tenancies in the public and private rental sectors. These are early intervention services that aim to stop homelessness from occurring.</w:t>
            </w:r>
          </w:p>
        </w:tc>
      </w:tr>
      <w:tr w:rsidR="00B764FC" w14:paraId="4373E17A" w14:textId="77777777">
        <w:tc>
          <w:tcPr>
            <w:tcW w:w="2694" w:type="dxa"/>
            <w:tcBorders>
              <w:left w:val="nil"/>
              <w:right w:val="nil"/>
            </w:tcBorders>
          </w:tcPr>
          <w:p w14:paraId="05331AE0" w14:textId="77777777" w:rsidR="00B764FC" w:rsidRDefault="00B764FC">
            <w:pPr>
              <w:rPr>
                <w:b/>
                <w:bCs/>
                <w:sz w:val="20"/>
                <w:szCs w:val="20"/>
              </w:rPr>
            </w:pPr>
            <w:r>
              <w:rPr>
                <w:b/>
                <w:bCs/>
                <w:sz w:val="20"/>
                <w:szCs w:val="20"/>
              </w:rPr>
              <w:t>Tenure</w:t>
            </w:r>
          </w:p>
          <w:p w14:paraId="149ABB59" w14:textId="77777777" w:rsidR="00B764FC" w:rsidRDefault="00B764FC">
            <w:pPr>
              <w:rPr>
                <w:b/>
                <w:bCs/>
                <w:sz w:val="20"/>
                <w:szCs w:val="20"/>
              </w:rPr>
            </w:pPr>
          </w:p>
        </w:tc>
        <w:tc>
          <w:tcPr>
            <w:tcW w:w="6520" w:type="dxa"/>
            <w:tcBorders>
              <w:left w:val="nil"/>
              <w:right w:val="nil"/>
            </w:tcBorders>
          </w:tcPr>
          <w:p w14:paraId="0F12131C" w14:textId="718B4017" w:rsidR="00B764FC" w:rsidRDefault="00B764FC">
            <w:pPr>
              <w:rPr>
                <w:sz w:val="20"/>
                <w:szCs w:val="20"/>
              </w:rPr>
            </w:pPr>
            <w:r>
              <w:rPr>
                <w:sz w:val="20"/>
                <w:szCs w:val="20"/>
              </w:rPr>
              <w:t>The nature of a person’s or household’s legal right to occupy a dwelling. These legal rights range across rights of use, control and disposal. Tenure types include home owners (outright owners, </w:t>
            </w:r>
            <w:hyperlink r:id="rId33" w:history="1">
              <w:r>
                <w:rPr>
                  <w:rStyle w:val="Hyperlink"/>
                  <w:b/>
                  <w:bCs/>
                  <w:color w:val="auto"/>
                  <w:sz w:val="18"/>
                  <w:szCs w:val="18"/>
                </w:rPr>
                <w:t>purchaser owners</w:t>
              </w:r>
            </w:hyperlink>
            <w:r>
              <w:rPr>
                <w:sz w:val="20"/>
                <w:szCs w:val="20"/>
              </w:rPr>
              <w:t>, </w:t>
            </w:r>
            <w:hyperlink r:id="rId34" w:history="1">
              <w:r>
                <w:rPr>
                  <w:rStyle w:val="Hyperlink"/>
                  <w:b/>
                  <w:bCs/>
                  <w:color w:val="auto"/>
                  <w:sz w:val="18"/>
                  <w:szCs w:val="18"/>
                </w:rPr>
                <w:t>shared equity</w:t>
              </w:r>
            </w:hyperlink>
            <w:r>
              <w:rPr>
                <w:sz w:val="20"/>
                <w:szCs w:val="20"/>
              </w:rPr>
              <w:t>), renters (private, public, community, social), rent free.</w:t>
            </w:r>
          </w:p>
        </w:tc>
      </w:tr>
      <w:tr w:rsidR="00B764FC" w14:paraId="29030337" w14:textId="77777777">
        <w:tc>
          <w:tcPr>
            <w:tcW w:w="2694" w:type="dxa"/>
            <w:tcBorders>
              <w:left w:val="nil"/>
              <w:right w:val="nil"/>
            </w:tcBorders>
          </w:tcPr>
          <w:p w14:paraId="4F9DEA06" w14:textId="77777777" w:rsidR="00B764FC" w:rsidRDefault="00B764FC">
            <w:pPr>
              <w:rPr>
                <w:b/>
                <w:bCs/>
                <w:sz w:val="20"/>
                <w:szCs w:val="20"/>
              </w:rPr>
            </w:pPr>
            <w:r>
              <w:rPr>
                <w:b/>
                <w:bCs/>
                <w:sz w:val="20"/>
                <w:szCs w:val="20"/>
              </w:rPr>
              <w:t>Transitional Housing</w:t>
            </w:r>
          </w:p>
        </w:tc>
        <w:tc>
          <w:tcPr>
            <w:tcW w:w="6520" w:type="dxa"/>
            <w:tcBorders>
              <w:left w:val="nil"/>
              <w:right w:val="nil"/>
            </w:tcBorders>
          </w:tcPr>
          <w:p w14:paraId="7827C6D0" w14:textId="77777777" w:rsidR="00B764FC" w:rsidRDefault="00B764FC">
            <w:pPr>
              <w:rPr>
                <w:sz w:val="20"/>
                <w:szCs w:val="20"/>
              </w:rPr>
            </w:pPr>
            <w:r>
              <w:rPr>
                <w:sz w:val="20"/>
                <w:szCs w:val="20"/>
              </w:rPr>
              <w:t>Transitional Housing is a supported short-term accommodation program. It acts as a stepping stone to more permanent housing in public housing, community housing or the private rental market. People moving into transitional housing have often been victims of a change in circumstance. For example, a lost job has meant the rent can’t be paid, a marriage break-up leaves one partner with no money or support, or a person may lose the support of – or can no longer live with – other family members. A key element of transitional housing is that it’s a temporary option, and tenants must be actively working with their support provider to apply for long-term housing.</w:t>
            </w:r>
          </w:p>
        </w:tc>
      </w:tr>
      <w:tr w:rsidR="00B764FC" w14:paraId="77BC6353" w14:textId="77777777">
        <w:tc>
          <w:tcPr>
            <w:tcW w:w="2694" w:type="dxa"/>
            <w:tcBorders>
              <w:left w:val="nil"/>
              <w:right w:val="nil"/>
            </w:tcBorders>
          </w:tcPr>
          <w:p w14:paraId="739F0CF3" w14:textId="77777777" w:rsidR="00B764FC" w:rsidRDefault="00B764FC">
            <w:pPr>
              <w:rPr>
                <w:b/>
                <w:bCs/>
                <w:sz w:val="20"/>
                <w:szCs w:val="20"/>
              </w:rPr>
            </w:pPr>
            <w:r>
              <w:rPr>
                <w:b/>
                <w:bCs/>
                <w:sz w:val="20"/>
                <w:szCs w:val="20"/>
              </w:rPr>
              <w:t>Victorian Housing Register</w:t>
            </w:r>
          </w:p>
        </w:tc>
        <w:tc>
          <w:tcPr>
            <w:tcW w:w="6520" w:type="dxa"/>
            <w:tcBorders>
              <w:left w:val="nil"/>
              <w:right w:val="nil"/>
            </w:tcBorders>
          </w:tcPr>
          <w:p w14:paraId="37C0BA6B" w14:textId="77777777" w:rsidR="00B764FC" w:rsidRDefault="00B764FC">
            <w:pPr>
              <w:rPr>
                <w:sz w:val="20"/>
                <w:szCs w:val="20"/>
              </w:rPr>
            </w:pPr>
            <w:r>
              <w:rPr>
                <w:sz w:val="20"/>
                <w:szCs w:val="20"/>
              </w:rPr>
              <w:t>The Victorian Housing Register manages applications for long-term social housing in Victoria. The waitlist now combines public and community housing applications for housing so that people only need to apply once and can be considered for both types of housing. Priority Access is given to those people who are homeless and receiving support, are escaping or have escaped family violence, living with a disability or have significant support needs and with special housing needs.</w:t>
            </w:r>
          </w:p>
        </w:tc>
      </w:tr>
    </w:tbl>
    <w:p w14:paraId="113B59CC" w14:textId="0626B974" w:rsidR="00B764FC" w:rsidRDefault="00B764FC">
      <w:pPr>
        <w:ind w:firstLine="720"/>
        <w:rPr>
          <w:rStyle w:val="Hyperlink"/>
          <w:color w:val="auto"/>
          <w:sz w:val="20"/>
          <w:szCs w:val="20"/>
          <w:u w:val="none"/>
        </w:rPr>
      </w:pPr>
      <w:r>
        <w:rPr>
          <w:i/>
          <w:iCs/>
          <w:color w:val="000000"/>
          <w:sz w:val="20"/>
          <w:szCs w:val="20"/>
        </w:rPr>
        <w:t>Source</w:t>
      </w:r>
      <w:r>
        <w:rPr>
          <w:color w:val="000000"/>
          <w:sz w:val="20"/>
          <w:szCs w:val="20"/>
        </w:rPr>
        <w:t xml:space="preserve">: Adapted from </w:t>
      </w:r>
      <w:hyperlink r:id="rId35" w:history="1">
        <w:r>
          <w:rPr>
            <w:rStyle w:val="Hyperlink"/>
            <w:color w:val="auto"/>
            <w:sz w:val="20"/>
            <w:szCs w:val="20"/>
            <w:u w:val="none"/>
          </w:rPr>
          <w:t>https://www.ahuri.edu.au/policy/glossary</w:t>
        </w:r>
      </w:hyperlink>
    </w:p>
    <w:p w14:paraId="2CF0974A" w14:textId="77777777" w:rsidR="00B764FC" w:rsidRDefault="00B764FC">
      <w:pPr>
        <w:ind w:firstLine="720"/>
        <w:rPr>
          <w:rStyle w:val="Hyperlink"/>
          <w:color w:val="auto"/>
          <w:sz w:val="20"/>
          <w:szCs w:val="20"/>
          <w:u w:val="none"/>
        </w:rPr>
      </w:pPr>
    </w:p>
    <w:p w14:paraId="6904BA11" w14:textId="77777777" w:rsidR="000D6FCB" w:rsidRDefault="000D6FCB">
      <w:pPr>
        <w:autoSpaceDE/>
        <w:autoSpaceDN/>
        <w:rPr>
          <w:b/>
          <w:bCs/>
          <w:color w:val="808080"/>
          <w:sz w:val="20"/>
          <w:szCs w:val="20"/>
        </w:rPr>
      </w:pPr>
      <w:bookmarkStart w:id="160" w:name="_Ref1384016"/>
      <w:bookmarkStart w:id="161" w:name="_Toc4593113"/>
      <w:bookmarkStart w:id="162" w:name="_Toc12729097"/>
      <w:bookmarkStart w:id="163" w:name="_Ref13068468"/>
      <w:r>
        <w:rPr>
          <w:b/>
          <w:bCs/>
        </w:rPr>
        <w:br w:type="page"/>
      </w:r>
    </w:p>
    <w:p w14:paraId="24E8C3DB" w14:textId="14DFF175" w:rsidR="00B764FC" w:rsidRDefault="00B764FC" w:rsidP="000D6FCB">
      <w:pPr>
        <w:pStyle w:val="Caption"/>
        <w:keepNext/>
        <w:rPr>
          <w:b/>
          <w:bCs/>
        </w:rPr>
      </w:pPr>
      <w:bookmarkStart w:id="164" w:name="_Toc22120057"/>
      <w:r>
        <w:rPr>
          <w:b/>
          <w:bCs/>
        </w:rPr>
        <w:lastRenderedPageBreak/>
        <w:t xml:space="preserve">Table </w:t>
      </w:r>
      <w:r w:rsidR="00FF5CA4">
        <w:rPr>
          <w:b/>
          <w:bCs/>
          <w:noProof/>
        </w:rPr>
        <w:fldChar w:fldCharType="begin"/>
      </w:r>
      <w:r>
        <w:rPr>
          <w:b/>
          <w:bCs/>
          <w:noProof/>
        </w:rPr>
        <w:instrText xml:space="preserve"> SEQ Table \* ARABIC </w:instrText>
      </w:r>
      <w:r w:rsidR="00FF5CA4">
        <w:rPr>
          <w:b/>
          <w:bCs/>
          <w:noProof/>
        </w:rPr>
        <w:fldChar w:fldCharType="separate"/>
      </w:r>
      <w:r w:rsidR="00BB479E">
        <w:rPr>
          <w:b/>
          <w:bCs/>
          <w:noProof/>
        </w:rPr>
        <w:t>22</w:t>
      </w:r>
      <w:r w:rsidR="00FF5CA4">
        <w:rPr>
          <w:b/>
          <w:bCs/>
          <w:noProof/>
        </w:rPr>
        <w:fldChar w:fldCharType="end"/>
      </w:r>
      <w:bookmarkEnd w:id="160"/>
      <w:r>
        <w:rPr>
          <w:b/>
          <w:bCs/>
        </w:rPr>
        <w:t>: Who Did We Consult? Stakeholder Definitions</w:t>
      </w:r>
      <w:bookmarkEnd w:id="161"/>
      <w:bookmarkEnd w:id="162"/>
      <w:bookmarkEnd w:id="163"/>
      <w:bookmarkEnd w:id="164"/>
      <w:r>
        <w:rPr>
          <w:b/>
          <w:bCs/>
        </w:rPr>
        <w:t xml:space="preserve"> </w:t>
      </w:r>
    </w:p>
    <w:tbl>
      <w:tblPr>
        <w:tblW w:w="0" w:type="auto"/>
        <w:tblInd w:w="-106" w:type="dxa"/>
        <w:tblLayout w:type="fixed"/>
        <w:tblLook w:val="0000" w:firstRow="0" w:lastRow="0" w:firstColumn="0" w:lastColumn="0" w:noHBand="0" w:noVBand="0"/>
      </w:tblPr>
      <w:tblGrid>
        <w:gridCol w:w="1736"/>
        <w:gridCol w:w="6859"/>
      </w:tblGrid>
      <w:tr w:rsidR="00B764FC" w14:paraId="290FD8ED" w14:textId="77777777" w:rsidTr="00291EB3">
        <w:trPr>
          <w:trHeight w:val="459"/>
          <w:tblHeader/>
        </w:trPr>
        <w:tc>
          <w:tcPr>
            <w:tcW w:w="1736" w:type="dxa"/>
            <w:tcBorders>
              <w:top w:val="single" w:sz="8" w:space="0" w:color="FFFFFF"/>
              <w:left w:val="single" w:sz="8" w:space="0" w:color="FFFFFF"/>
              <w:bottom w:val="single" w:sz="12" w:space="0" w:color="FFFFFF"/>
              <w:right w:val="single" w:sz="8" w:space="0" w:color="FFFFFF"/>
            </w:tcBorders>
            <w:shd w:val="clear" w:color="auto" w:fill="002060"/>
            <w:vAlign w:val="center"/>
          </w:tcPr>
          <w:p w14:paraId="10AE7776" w14:textId="77777777" w:rsidR="00B764FC" w:rsidRDefault="00B764F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Who</w:t>
            </w:r>
          </w:p>
        </w:tc>
        <w:tc>
          <w:tcPr>
            <w:tcW w:w="6859" w:type="dxa"/>
            <w:tcBorders>
              <w:top w:val="single" w:sz="8" w:space="0" w:color="FFFFFF"/>
              <w:left w:val="nil"/>
              <w:bottom w:val="single" w:sz="12" w:space="0" w:color="FFFFFF"/>
              <w:right w:val="single" w:sz="8" w:space="0" w:color="FFFFFF"/>
            </w:tcBorders>
            <w:shd w:val="clear" w:color="auto" w:fill="002060"/>
            <w:vAlign w:val="center"/>
          </w:tcPr>
          <w:p w14:paraId="1029A79D" w14:textId="77777777" w:rsidR="00B764FC" w:rsidRDefault="00B764FC">
            <w:pPr>
              <w:rPr>
                <w:rFonts w:ascii="Calibri Light" w:hAnsi="Calibri Light" w:cs="Calibri Light"/>
                <w:b/>
                <w:bCs/>
                <w:color w:val="FFFFFF"/>
                <w:sz w:val="20"/>
                <w:szCs w:val="20"/>
              </w:rPr>
            </w:pPr>
            <w:r>
              <w:rPr>
                <w:rFonts w:ascii="Calibri Light" w:hAnsi="Calibri Light" w:cs="Calibri Light"/>
                <w:b/>
                <w:bCs/>
                <w:color w:val="FFFFFF"/>
                <w:sz w:val="20"/>
                <w:szCs w:val="20"/>
              </w:rPr>
              <w:t>Stakeholder Definition</w:t>
            </w:r>
          </w:p>
        </w:tc>
      </w:tr>
      <w:tr w:rsidR="00B764FC" w14:paraId="33AF6D18" w14:textId="77777777">
        <w:trPr>
          <w:trHeight w:val="1290"/>
        </w:trPr>
        <w:tc>
          <w:tcPr>
            <w:tcW w:w="1736" w:type="dxa"/>
            <w:tcBorders>
              <w:top w:val="nil"/>
              <w:left w:val="single" w:sz="8" w:space="0" w:color="FFFFFF"/>
              <w:bottom w:val="nil"/>
              <w:right w:val="single" w:sz="8" w:space="0" w:color="FFFFFF"/>
            </w:tcBorders>
            <w:shd w:val="clear" w:color="auto" w:fill="C0C0C0"/>
            <w:vAlign w:val="center"/>
          </w:tcPr>
          <w:p w14:paraId="6001B9FD" w14:textId="77777777" w:rsidR="00B764FC" w:rsidRDefault="00B764FC">
            <w:pPr>
              <w:rPr>
                <w:rFonts w:ascii="Calibri Light" w:hAnsi="Calibri Light" w:cs="Calibri Light"/>
                <w:b/>
                <w:bCs/>
                <w:color w:val="000000"/>
                <w:sz w:val="20"/>
                <w:szCs w:val="20"/>
              </w:rPr>
            </w:pPr>
            <w:r>
              <w:rPr>
                <w:rFonts w:ascii="Calibri Light" w:hAnsi="Calibri Light" w:cs="Calibri Light"/>
                <w:b/>
                <w:bCs/>
                <w:color w:val="000000"/>
                <w:sz w:val="20"/>
                <w:szCs w:val="20"/>
              </w:rPr>
              <w:t>Social and Community Housing Tenants</w:t>
            </w:r>
          </w:p>
        </w:tc>
        <w:tc>
          <w:tcPr>
            <w:tcW w:w="6859" w:type="dxa"/>
            <w:tcBorders>
              <w:top w:val="nil"/>
              <w:left w:val="nil"/>
              <w:bottom w:val="nil"/>
              <w:right w:val="single" w:sz="8" w:space="0" w:color="FFFFFF"/>
            </w:tcBorders>
            <w:shd w:val="clear" w:color="auto" w:fill="C0C0C0"/>
            <w:vAlign w:val="center"/>
          </w:tcPr>
          <w:p w14:paraId="3D48FA19" w14:textId="77777777" w:rsidR="00B764FC" w:rsidRDefault="00B764FC">
            <w:pPr>
              <w:rPr>
                <w:rFonts w:ascii="Calibri Light" w:hAnsi="Calibri Light" w:cs="Calibri Light"/>
                <w:color w:val="000000"/>
                <w:sz w:val="20"/>
                <w:szCs w:val="20"/>
              </w:rPr>
            </w:pPr>
            <w:r>
              <w:rPr>
                <w:rFonts w:ascii="Calibri Light" w:hAnsi="Calibri Light" w:cs="Calibri Light"/>
                <w:b/>
                <w:bCs/>
                <w:color w:val="000000"/>
                <w:sz w:val="20"/>
                <w:szCs w:val="20"/>
              </w:rPr>
              <w:t>Current and future social housing tenants</w:t>
            </w:r>
            <w:r>
              <w:rPr>
                <w:rFonts w:ascii="Calibri Light" w:hAnsi="Calibri Light" w:cs="Calibri Light"/>
                <w:color w:val="000000"/>
                <w:sz w:val="20"/>
                <w:szCs w:val="20"/>
              </w:rPr>
              <w:t xml:space="preserve"> including people currently living in social housing in the Geelong region and people currently on the Office of Housing (OoH) waiting list; Stakeholder include those organisations who can provide contact details for this group</w:t>
            </w:r>
          </w:p>
        </w:tc>
      </w:tr>
      <w:tr w:rsidR="00B764FC" w14:paraId="744BC83D" w14:textId="77777777">
        <w:trPr>
          <w:trHeight w:val="1125"/>
        </w:trPr>
        <w:tc>
          <w:tcPr>
            <w:tcW w:w="1736"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6BF90DA7" w14:textId="77777777" w:rsidR="00B764FC" w:rsidRDefault="00B764FC">
            <w:pPr>
              <w:rPr>
                <w:rFonts w:ascii="Calibri Light" w:hAnsi="Calibri Light" w:cs="Calibri Light"/>
                <w:b/>
                <w:bCs/>
                <w:color w:val="000000"/>
                <w:sz w:val="20"/>
                <w:szCs w:val="20"/>
              </w:rPr>
            </w:pPr>
            <w:r>
              <w:rPr>
                <w:rFonts w:ascii="Calibri Light" w:hAnsi="Calibri Light" w:cs="Calibri Light"/>
                <w:b/>
                <w:bCs/>
                <w:color w:val="000000"/>
                <w:sz w:val="20"/>
                <w:szCs w:val="20"/>
              </w:rPr>
              <w:t>Community Service Agencies</w:t>
            </w:r>
          </w:p>
        </w:tc>
        <w:tc>
          <w:tcPr>
            <w:tcW w:w="6859" w:type="dxa"/>
            <w:tcBorders>
              <w:top w:val="nil"/>
              <w:left w:val="nil"/>
              <w:bottom w:val="nil"/>
              <w:right w:val="single" w:sz="8" w:space="0" w:color="FFFFFF"/>
            </w:tcBorders>
            <w:shd w:val="clear" w:color="auto" w:fill="FFFFFF"/>
            <w:vAlign w:val="center"/>
          </w:tcPr>
          <w:p w14:paraId="4C8DBB00" w14:textId="77777777" w:rsidR="00B764FC" w:rsidRDefault="00B764FC">
            <w:pPr>
              <w:rPr>
                <w:rFonts w:ascii="Calibri Light" w:hAnsi="Calibri Light" w:cs="Calibri Light"/>
                <w:color w:val="000000"/>
                <w:sz w:val="20"/>
                <w:szCs w:val="20"/>
              </w:rPr>
            </w:pPr>
            <w:r>
              <w:rPr>
                <w:rFonts w:ascii="Calibri Light" w:hAnsi="Calibri Light" w:cs="Calibri Light"/>
                <w:b/>
                <w:bCs/>
                <w:color w:val="000000"/>
                <w:sz w:val="20"/>
                <w:szCs w:val="20"/>
              </w:rPr>
              <w:t>Community service providers'</w:t>
            </w:r>
            <w:r>
              <w:rPr>
                <w:rFonts w:ascii="Calibri Light" w:hAnsi="Calibri Light" w:cs="Calibri Light"/>
                <w:color w:val="000000"/>
                <w:sz w:val="20"/>
                <w:szCs w:val="20"/>
              </w:rPr>
              <w:t xml:space="preserve"> who provide a range of support services to people at risk and/or in need, in order to maintain their accommodation i.e. support services including specialist homeless services through to in-home carers, disability, aged and/or family support services</w:t>
            </w:r>
          </w:p>
        </w:tc>
      </w:tr>
      <w:tr w:rsidR="00B764FC" w14:paraId="53685DEB" w14:textId="77777777">
        <w:trPr>
          <w:trHeight w:val="1620"/>
        </w:trPr>
        <w:tc>
          <w:tcPr>
            <w:tcW w:w="1736" w:type="dxa"/>
            <w:tcBorders>
              <w:top w:val="nil"/>
              <w:left w:val="single" w:sz="8" w:space="0" w:color="FFFFFF"/>
              <w:bottom w:val="single" w:sz="8" w:space="0" w:color="FFFFFF"/>
              <w:right w:val="single" w:sz="8" w:space="0" w:color="FFFFFF"/>
            </w:tcBorders>
            <w:shd w:val="clear" w:color="auto" w:fill="C0C0C0"/>
            <w:vAlign w:val="center"/>
          </w:tcPr>
          <w:p w14:paraId="1A4DB2D1" w14:textId="77777777" w:rsidR="00B764FC" w:rsidRDefault="00B764FC">
            <w:pPr>
              <w:rPr>
                <w:rFonts w:ascii="Calibri Light" w:hAnsi="Calibri Light" w:cs="Calibri Light"/>
                <w:b/>
                <w:bCs/>
                <w:color w:val="000000"/>
                <w:sz w:val="20"/>
                <w:szCs w:val="20"/>
              </w:rPr>
            </w:pPr>
            <w:r>
              <w:rPr>
                <w:rFonts w:ascii="Calibri Light" w:hAnsi="Calibri Light" w:cs="Calibri Light"/>
                <w:b/>
                <w:bCs/>
                <w:color w:val="000000"/>
                <w:sz w:val="20"/>
                <w:szCs w:val="20"/>
              </w:rPr>
              <w:t>Housing Providers</w:t>
            </w:r>
          </w:p>
        </w:tc>
        <w:tc>
          <w:tcPr>
            <w:tcW w:w="6859" w:type="dxa"/>
            <w:tcBorders>
              <w:top w:val="nil"/>
              <w:left w:val="nil"/>
              <w:bottom w:val="nil"/>
              <w:right w:val="single" w:sz="8" w:space="0" w:color="FFFFFF"/>
            </w:tcBorders>
            <w:shd w:val="clear" w:color="auto" w:fill="C0C0C0"/>
            <w:vAlign w:val="center"/>
          </w:tcPr>
          <w:p w14:paraId="31D1A9B5" w14:textId="77777777" w:rsidR="00B764FC" w:rsidRDefault="00B764FC">
            <w:pPr>
              <w:rPr>
                <w:rFonts w:ascii="Calibri Light" w:hAnsi="Calibri Light" w:cs="Calibri Light"/>
                <w:color w:val="000000"/>
                <w:sz w:val="20"/>
                <w:szCs w:val="20"/>
              </w:rPr>
            </w:pPr>
            <w:r>
              <w:rPr>
                <w:rFonts w:ascii="Calibri Light" w:hAnsi="Calibri Light" w:cs="Calibri Light"/>
                <w:color w:val="000000"/>
                <w:sz w:val="20"/>
                <w:szCs w:val="20"/>
              </w:rPr>
              <w:t xml:space="preserve">Including (i) </w:t>
            </w:r>
            <w:r>
              <w:rPr>
                <w:rFonts w:ascii="Calibri Light" w:hAnsi="Calibri Light" w:cs="Calibri Light"/>
                <w:b/>
                <w:bCs/>
                <w:color w:val="000000"/>
                <w:sz w:val="20"/>
                <w:szCs w:val="20"/>
              </w:rPr>
              <w:t xml:space="preserve">housing providers </w:t>
            </w:r>
            <w:r>
              <w:rPr>
                <w:rFonts w:ascii="Calibri Light" w:hAnsi="Calibri Light" w:cs="Calibri Light"/>
                <w:color w:val="000000"/>
                <w:sz w:val="20"/>
                <w:szCs w:val="20"/>
              </w:rPr>
              <w:t>who are Registered Housing Association's (RHA's</w:t>
            </w:r>
            <w:r>
              <w:rPr>
                <w:rStyle w:val="FootnoteReference"/>
                <w:rFonts w:ascii="Calibri Light" w:hAnsi="Calibri Light" w:cs="Calibri Light"/>
                <w:color w:val="000000"/>
              </w:rPr>
              <w:footnoteReference w:id="23"/>
            </w:r>
            <w:r>
              <w:rPr>
                <w:rFonts w:ascii="Calibri Light" w:hAnsi="Calibri Light" w:cs="Calibri Light"/>
                <w:color w:val="000000"/>
                <w:sz w:val="20"/>
                <w:szCs w:val="20"/>
              </w:rPr>
              <w:t xml:space="preserve">) or Department of Health and Human Services (DHHS) (ii) those </w:t>
            </w:r>
            <w:r>
              <w:rPr>
                <w:rFonts w:ascii="Calibri Light" w:hAnsi="Calibri Light" w:cs="Calibri Light"/>
                <w:b/>
                <w:bCs/>
                <w:color w:val="000000"/>
                <w:sz w:val="20"/>
                <w:szCs w:val="20"/>
              </w:rPr>
              <w:t xml:space="preserve">organisations with an interest in the development of affordable housing </w:t>
            </w:r>
            <w:r>
              <w:rPr>
                <w:rFonts w:ascii="Calibri Light" w:hAnsi="Calibri Light" w:cs="Calibri Light"/>
                <w:color w:val="000000"/>
                <w:sz w:val="20"/>
                <w:szCs w:val="20"/>
              </w:rPr>
              <w:t xml:space="preserve">as a part of a strategy to support economic growth or enhance community sustainability and wellbeing, including relevant State Government departments and </w:t>
            </w:r>
            <w:r>
              <w:rPr>
                <w:rFonts w:ascii="Calibri Light" w:hAnsi="Calibri Light" w:cs="Calibri Light"/>
                <w:sz w:val="20"/>
                <w:szCs w:val="20"/>
              </w:rPr>
              <w:t>City of Greater Geelong</w:t>
            </w:r>
            <w:r>
              <w:rPr>
                <w:rFonts w:ascii="Calibri Light" w:hAnsi="Calibri Light" w:cs="Calibri Light"/>
                <w:color w:val="000000"/>
                <w:sz w:val="20"/>
                <w:szCs w:val="20"/>
              </w:rPr>
              <w:t xml:space="preserve"> influencers.</w:t>
            </w:r>
          </w:p>
        </w:tc>
      </w:tr>
      <w:tr w:rsidR="00B764FC" w14:paraId="7AB702BE" w14:textId="77777777">
        <w:trPr>
          <w:trHeight w:val="1357"/>
        </w:trPr>
        <w:tc>
          <w:tcPr>
            <w:tcW w:w="1736" w:type="dxa"/>
            <w:tcBorders>
              <w:top w:val="nil"/>
              <w:left w:val="single" w:sz="8" w:space="0" w:color="FFFFFF"/>
              <w:bottom w:val="nil"/>
              <w:right w:val="single" w:sz="8" w:space="0" w:color="FFFFFF"/>
            </w:tcBorders>
            <w:shd w:val="clear" w:color="auto" w:fill="FFFFFF"/>
            <w:vAlign w:val="center"/>
          </w:tcPr>
          <w:p w14:paraId="65E7E00D" w14:textId="77777777" w:rsidR="00B764FC" w:rsidRDefault="00B764FC">
            <w:pPr>
              <w:rPr>
                <w:rFonts w:ascii="Calibri Light" w:hAnsi="Calibri Light" w:cs="Calibri Light"/>
                <w:b/>
                <w:bCs/>
                <w:color w:val="000000"/>
                <w:sz w:val="20"/>
                <w:szCs w:val="20"/>
              </w:rPr>
            </w:pPr>
            <w:r>
              <w:rPr>
                <w:rFonts w:ascii="Calibri Light" w:hAnsi="Calibri Light" w:cs="Calibri Light"/>
                <w:b/>
                <w:bCs/>
                <w:color w:val="000000"/>
                <w:sz w:val="20"/>
                <w:szCs w:val="20"/>
              </w:rPr>
              <w:t>Industry Sector</w:t>
            </w:r>
          </w:p>
        </w:tc>
        <w:tc>
          <w:tcPr>
            <w:tcW w:w="6859" w:type="dxa"/>
            <w:tcBorders>
              <w:top w:val="nil"/>
              <w:left w:val="nil"/>
              <w:bottom w:val="nil"/>
              <w:right w:val="nil"/>
            </w:tcBorders>
            <w:shd w:val="clear" w:color="auto" w:fill="FFFFFF"/>
            <w:vAlign w:val="center"/>
          </w:tcPr>
          <w:p w14:paraId="0B8B5135" w14:textId="77777777" w:rsidR="00B764FC" w:rsidRDefault="00B764FC">
            <w:pPr>
              <w:rPr>
                <w:color w:val="000000"/>
                <w:sz w:val="20"/>
                <w:szCs w:val="20"/>
              </w:rPr>
            </w:pPr>
            <w:r>
              <w:rPr>
                <w:color w:val="000000"/>
                <w:sz w:val="20"/>
                <w:szCs w:val="20"/>
              </w:rPr>
              <w:t xml:space="preserve">Including developer and builder organisation who invest in housing and may experience affordable housing as a 'risk' or 'opportunity' including (i) </w:t>
            </w:r>
            <w:r>
              <w:rPr>
                <w:b/>
                <w:bCs/>
                <w:color w:val="000000"/>
                <w:sz w:val="20"/>
                <w:szCs w:val="20"/>
              </w:rPr>
              <w:t>large scale developers/builders</w:t>
            </w:r>
            <w:r>
              <w:rPr>
                <w:color w:val="000000"/>
                <w:sz w:val="20"/>
                <w:szCs w:val="20"/>
              </w:rPr>
              <w:t xml:space="preserve"> holding rights over large land parcels seeking or obtaining master plan approval (ii) </w:t>
            </w:r>
            <w:r>
              <w:rPr>
                <w:b/>
                <w:bCs/>
                <w:color w:val="000000"/>
                <w:sz w:val="20"/>
                <w:szCs w:val="20"/>
              </w:rPr>
              <w:t>smaller developer / builders</w:t>
            </w:r>
            <w:r>
              <w:rPr>
                <w:color w:val="000000"/>
                <w:sz w:val="20"/>
                <w:szCs w:val="20"/>
              </w:rPr>
              <w:t xml:space="preserve"> who may purchase lots within larger developments or be interested in the renewal opportunities in Norlane and Whittington areas (iii) </w:t>
            </w:r>
            <w:r>
              <w:rPr>
                <w:b/>
                <w:bCs/>
                <w:color w:val="000000"/>
                <w:sz w:val="20"/>
                <w:szCs w:val="20"/>
              </w:rPr>
              <w:t>real estate agents</w:t>
            </w:r>
            <w:r>
              <w:rPr>
                <w:color w:val="000000"/>
                <w:sz w:val="20"/>
                <w:szCs w:val="20"/>
              </w:rPr>
              <w:t xml:space="preserve"> </w:t>
            </w:r>
          </w:p>
        </w:tc>
      </w:tr>
      <w:tr w:rsidR="00B764FC" w14:paraId="0F22C372" w14:textId="77777777">
        <w:trPr>
          <w:trHeight w:val="1320"/>
        </w:trPr>
        <w:tc>
          <w:tcPr>
            <w:tcW w:w="1736" w:type="dxa"/>
            <w:tcBorders>
              <w:top w:val="single" w:sz="8" w:space="0" w:color="FFFFFF"/>
              <w:left w:val="single" w:sz="8" w:space="0" w:color="FFFFFF"/>
              <w:bottom w:val="single" w:sz="8" w:space="0" w:color="FFFFFF"/>
              <w:right w:val="single" w:sz="8" w:space="0" w:color="FFFFFF"/>
            </w:tcBorders>
            <w:shd w:val="clear" w:color="auto" w:fill="C0C0C0"/>
            <w:vAlign w:val="center"/>
          </w:tcPr>
          <w:p w14:paraId="59F11E78" w14:textId="77777777" w:rsidR="00B764FC" w:rsidRDefault="00B764FC">
            <w:pPr>
              <w:rPr>
                <w:rFonts w:ascii="Calibri Light" w:hAnsi="Calibri Light" w:cs="Calibri Light"/>
                <w:b/>
                <w:bCs/>
                <w:color w:val="000000"/>
                <w:sz w:val="20"/>
                <w:szCs w:val="20"/>
              </w:rPr>
            </w:pPr>
            <w:r>
              <w:rPr>
                <w:rFonts w:ascii="Calibri Light" w:hAnsi="Calibri Light" w:cs="Calibri Light"/>
                <w:b/>
                <w:bCs/>
                <w:color w:val="000000"/>
                <w:sz w:val="20"/>
                <w:szCs w:val="20"/>
              </w:rPr>
              <w:t>Locations of High Housing Stress</w:t>
            </w:r>
            <w:r>
              <w:rPr>
                <w:rStyle w:val="FootnoteReference"/>
                <w:rFonts w:ascii="Calibri Light" w:hAnsi="Calibri Light" w:cs="Calibri Light"/>
                <w:b/>
                <w:bCs/>
                <w:color w:val="000000"/>
                <w:sz w:val="20"/>
                <w:szCs w:val="20"/>
              </w:rPr>
              <w:footnoteReference w:id="24"/>
            </w:r>
          </w:p>
        </w:tc>
        <w:tc>
          <w:tcPr>
            <w:tcW w:w="6859" w:type="dxa"/>
            <w:tcBorders>
              <w:top w:val="single" w:sz="8" w:space="0" w:color="FFFFFF"/>
              <w:left w:val="nil"/>
              <w:bottom w:val="single" w:sz="8" w:space="0" w:color="FFFFFF"/>
              <w:right w:val="nil"/>
            </w:tcBorders>
            <w:shd w:val="clear" w:color="auto" w:fill="C0C0C0"/>
            <w:vAlign w:val="center"/>
          </w:tcPr>
          <w:p w14:paraId="122ACDB8" w14:textId="77777777" w:rsidR="00B764FC" w:rsidRDefault="00B764FC">
            <w:pPr>
              <w:rPr>
                <w:rFonts w:ascii="Calibri Light" w:hAnsi="Calibri Light" w:cs="Calibri Light"/>
                <w:color w:val="000000"/>
                <w:sz w:val="20"/>
                <w:szCs w:val="20"/>
              </w:rPr>
            </w:pPr>
            <w:r>
              <w:rPr>
                <w:rFonts w:ascii="Calibri Light" w:hAnsi="Calibri Light" w:cs="Calibri Light"/>
                <w:sz w:val="20"/>
                <w:szCs w:val="20"/>
              </w:rPr>
              <w:t>Key stakeholders interested in the development and delivery of affordable housing options in the areas of City of Greater Geelong</w:t>
            </w:r>
            <w:r>
              <w:rPr>
                <w:rFonts w:ascii="Calibri Light" w:hAnsi="Calibri Light" w:cs="Calibri Light"/>
                <w:color w:val="000000"/>
                <w:sz w:val="20"/>
                <w:szCs w:val="20"/>
              </w:rPr>
              <w:t xml:space="preserve"> </w:t>
            </w:r>
            <w:r>
              <w:rPr>
                <w:rFonts w:ascii="Calibri Light" w:hAnsi="Calibri Light" w:cs="Calibri Light"/>
                <w:sz w:val="20"/>
                <w:szCs w:val="20"/>
              </w:rPr>
              <w:t xml:space="preserve">that are experiencing particularly high levels of housing stress, particularly </w:t>
            </w:r>
            <w:r>
              <w:rPr>
                <w:rFonts w:ascii="Calibri Light" w:hAnsi="Calibri Light" w:cs="Calibri Light"/>
                <w:b/>
                <w:bCs/>
                <w:sz w:val="20"/>
                <w:szCs w:val="20"/>
              </w:rPr>
              <w:t>the smaller settlements on the northern Bellarine</w:t>
            </w:r>
            <w:r>
              <w:rPr>
                <w:rFonts w:ascii="Calibri Light" w:hAnsi="Calibri Light" w:cs="Calibri Light"/>
                <w:sz w:val="20"/>
                <w:szCs w:val="20"/>
              </w:rPr>
              <w:t xml:space="preserve">. Due to their small size and relative isolation, these areas may not be identified through the social housing demand analysis. </w:t>
            </w:r>
          </w:p>
        </w:tc>
      </w:tr>
      <w:tr w:rsidR="00B764FC" w14:paraId="4EBBABC6" w14:textId="77777777">
        <w:trPr>
          <w:trHeight w:val="1102"/>
        </w:trPr>
        <w:tc>
          <w:tcPr>
            <w:tcW w:w="1736" w:type="dxa"/>
            <w:tcBorders>
              <w:top w:val="single" w:sz="8" w:space="0" w:color="FFFFFF"/>
              <w:left w:val="single" w:sz="8" w:space="0" w:color="FFFFFF"/>
              <w:bottom w:val="single" w:sz="8" w:space="0" w:color="FFFFFF"/>
              <w:right w:val="single" w:sz="8" w:space="0" w:color="FFFFFF"/>
            </w:tcBorders>
            <w:shd w:val="clear" w:color="auto" w:fill="FFFFFF"/>
            <w:vAlign w:val="center"/>
          </w:tcPr>
          <w:p w14:paraId="43B09759" w14:textId="77777777" w:rsidR="00B764FC" w:rsidRDefault="00B764FC">
            <w:pPr>
              <w:rPr>
                <w:rFonts w:ascii="Calibri Light" w:hAnsi="Calibri Light" w:cs="Calibri Light"/>
                <w:b/>
                <w:bCs/>
                <w:color w:val="000000"/>
                <w:sz w:val="20"/>
                <w:szCs w:val="20"/>
              </w:rPr>
            </w:pPr>
            <w:r>
              <w:rPr>
                <w:rFonts w:ascii="Calibri Light" w:hAnsi="Calibri Light" w:cs="Calibri Light"/>
                <w:b/>
                <w:bCs/>
                <w:color w:val="000000"/>
                <w:sz w:val="20"/>
                <w:szCs w:val="20"/>
              </w:rPr>
              <w:t xml:space="preserve">General Community </w:t>
            </w:r>
          </w:p>
        </w:tc>
        <w:tc>
          <w:tcPr>
            <w:tcW w:w="6859" w:type="dxa"/>
            <w:tcBorders>
              <w:top w:val="single" w:sz="8" w:space="0" w:color="FFFFFF"/>
              <w:left w:val="nil"/>
              <w:bottom w:val="single" w:sz="8" w:space="0" w:color="FFFFFF"/>
              <w:right w:val="nil"/>
            </w:tcBorders>
            <w:shd w:val="clear" w:color="auto" w:fill="FFFFFF"/>
            <w:vAlign w:val="center"/>
          </w:tcPr>
          <w:p w14:paraId="68AB0E3E" w14:textId="77777777" w:rsidR="00B764FC" w:rsidRDefault="00B764FC">
            <w:pPr>
              <w:rPr>
                <w:color w:val="000000"/>
                <w:sz w:val="20"/>
                <w:szCs w:val="20"/>
              </w:rPr>
            </w:pPr>
            <w:r>
              <w:rPr>
                <w:rFonts w:ascii="Calibri Light" w:hAnsi="Calibri Light" w:cs="Calibri Light"/>
                <w:b/>
                <w:bCs/>
                <w:color w:val="000000"/>
                <w:sz w:val="20"/>
                <w:szCs w:val="20"/>
              </w:rPr>
              <w:t>Current and future residents, workers and visitors</w:t>
            </w:r>
            <w:r>
              <w:rPr>
                <w:rFonts w:ascii="Calibri Light" w:hAnsi="Calibri Light" w:cs="Calibri Light"/>
                <w:color w:val="000000"/>
                <w:sz w:val="20"/>
                <w:szCs w:val="20"/>
              </w:rPr>
              <w:t xml:space="preserve"> in the City of Greater Geelong who have an interest in </w:t>
            </w:r>
            <w:r>
              <w:rPr>
                <w:color w:val="000000"/>
                <w:sz w:val="20"/>
                <w:szCs w:val="20"/>
              </w:rPr>
              <w:t>managing the impact of future growth including opportunities and challenges for sustainable local areas</w:t>
            </w:r>
          </w:p>
          <w:p w14:paraId="054E435C" w14:textId="77777777" w:rsidR="00B764FC" w:rsidRDefault="00B764FC">
            <w:pPr>
              <w:rPr>
                <w:color w:val="000000"/>
                <w:sz w:val="20"/>
                <w:szCs w:val="20"/>
              </w:rPr>
            </w:pPr>
          </w:p>
          <w:p w14:paraId="267AC3F1" w14:textId="77777777" w:rsidR="00B764FC" w:rsidRDefault="00B764FC">
            <w:pPr>
              <w:rPr>
                <w:rFonts w:ascii="Calibri Light" w:hAnsi="Calibri Light" w:cs="Calibri Light"/>
                <w:color w:val="000000"/>
                <w:sz w:val="20"/>
                <w:szCs w:val="20"/>
              </w:rPr>
            </w:pPr>
            <w:r>
              <w:rPr>
                <w:color w:val="000000"/>
                <w:sz w:val="20"/>
                <w:szCs w:val="20"/>
              </w:rPr>
              <w:t xml:space="preserve">City of Greater Geelong </w:t>
            </w:r>
            <w:r>
              <w:rPr>
                <w:b/>
                <w:bCs/>
                <w:color w:val="000000"/>
                <w:sz w:val="20"/>
                <w:szCs w:val="20"/>
              </w:rPr>
              <w:t>Access and Inclusion Advisory Committee</w:t>
            </w:r>
          </w:p>
        </w:tc>
      </w:tr>
    </w:tbl>
    <w:p w14:paraId="10B99FC0" w14:textId="77777777" w:rsidR="00B764FC" w:rsidRDefault="00B764FC">
      <w:pPr>
        <w:rPr>
          <w:b/>
          <w:bCs/>
          <w:sz w:val="22"/>
          <w:szCs w:val="22"/>
        </w:rPr>
      </w:pPr>
    </w:p>
    <w:p w14:paraId="3C3253E7" w14:textId="77777777" w:rsidR="00B764FC" w:rsidRDefault="00B764FC">
      <w:pPr>
        <w:rPr>
          <w:b/>
          <w:bCs/>
          <w:sz w:val="22"/>
          <w:szCs w:val="22"/>
        </w:rPr>
      </w:pPr>
    </w:p>
    <w:p w14:paraId="71C9A5DF" w14:textId="77777777" w:rsidR="00B764FC" w:rsidRDefault="00B764FC">
      <w:pPr>
        <w:rPr>
          <w:b/>
          <w:bCs/>
          <w:sz w:val="22"/>
          <w:szCs w:val="22"/>
        </w:rPr>
      </w:pPr>
    </w:p>
    <w:p w14:paraId="5FED5DDC" w14:textId="77777777" w:rsidR="00B764FC" w:rsidRDefault="00B764FC">
      <w:pPr>
        <w:rPr>
          <w:b/>
          <w:bCs/>
          <w:sz w:val="22"/>
          <w:szCs w:val="22"/>
        </w:rPr>
      </w:pPr>
    </w:p>
    <w:p w14:paraId="3036B8E2" w14:textId="77777777" w:rsidR="00B764FC" w:rsidRDefault="00B764FC">
      <w:pPr>
        <w:rPr>
          <w:b/>
          <w:bCs/>
          <w:sz w:val="22"/>
          <w:szCs w:val="22"/>
        </w:rPr>
      </w:pPr>
    </w:p>
    <w:p w14:paraId="5191DA62" w14:textId="77777777" w:rsidR="000D6FCB" w:rsidRDefault="000D6FCB">
      <w:pPr>
        <w:autoSpaceDE/>
        <w:autoSpaceDN/>
        <w:rPr>
          <w:b/>
          <w:bCs/>
          <w:color w:val="808080"/>
          <w:sz w:val="20"/>
          <w:szCs w:val="20"/>
        </w:rPr>
      </w:pPr>
      <w:bookmarkStart w:id="165" w:name="_Toc12729096"/>
      <w:r>
        <w:rPr>
          <w:b/>
          <w:bCs/>
        </w:rPr>
        <w:br w:type="page"/>
      </w:r>
    </w:p>
    <w:p w14:paraId="3E5F8886" w14:textId="1295F378" w:rsidR="00B764FC" w:rsidRDefault="00B764FC">
      <w:pPr>
        <w:pStyle w:val="Caption"/>
        <w:keepNext/>
        <w:rPr>
          <w:b/>
          <w:bCs/>
        </w:rPr>
      </w:pPr>
      <w:bookmarkStart w:id="166" w:name="_Toc22120058"/>
      <w:r>
        <w:rPr>
          <w:b/>
          <w:bCs/>
        </w:rPr>
        <w:lastRenderedPageBreak/>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23</w:t>
      </w:r>
      <w:r w:rsidR="00FF5CA4">
        <w:rPr>
          <w:b/>
          <w:bCs/>
        </w:rPr>
        <w:fldChar w:fldCharType="end"/>
      </w:r>
      <w:r>
        <w:rPr>
          <w:b/>
          <w:bCs/>
        </w:rPr>
        <w:t>: Stakeholder Organisations Engaged in Project</w:t>
      </w:r>
      <w:bookmarkEnd w:id="165"/>
      <w:bookmarkEnd w:id="166"/>
      <w:r>
        <w:rPr>
          <w:b/>
          <w:bCs/>
        </w:rPr>
        <w:t xml:space="preserve"> </w:t>
      </w:r>
    </w:p>
    <w:tbl>
      <w:tblPr>
        <w:tblW w:w="0" w:type="auto"/>
        <w:tblInd w:w="-106"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980"/>
        <w:gridCol w:w="7030"/>
      </w:tblGrid>
      <w:tr w:rsidR="00B764FC" w14:paraId="5F9F4F62" w14:textId="77777777" w:rsidTr="00291EB3">
        <w:trPr>
          <w:trHeight w:val="340"/>
        </w:trPr>
        <w:tc>
          <w:tcPr>
            <w:tcW w:w="1980" w:type="dxa"/>
            <w:tcBorders>
              <w:left w:val="nil"/>
              <w:right w:val="nil"/>
            </w:tcBorders>
            <w:shd w:val="clear" w:color="auto" w:fill="002060"/>
          </w:tcPr>
          <w:p w14:paraId="72054F06" w14:textId="77777777" w:rsidR="00B764FC" w:rsidRDefault="00B764FC">
            <w:pPr>
              <w:rPr>
                <w:b/>
                <w:bCs/>
                <w:color w:val="FFFFFF"/>
                <w:sz w:val="20"/>
                <w:szCs w:val="20"/>
              </w:rPr>
            </w:pPr>
            <w:r>
              <w:rPr>
                <w:b/>
                <w:bCs/>
                <w:color w:val="FFFFFF"/>
                <w:sz w:val="20"/>
                <w:szCs w:val="20"/>
              </w:rPr>
              <w:t>Housing Sector</w:t>
            </w:r>
          </w:p>
        </w:tc>
        <w:tc>
          <w:tcPr>
            <w:tcW w:w="7030" w:type="dxa"/>
            <w:tcBorders>
              <w:left w:val="nil"/>
              <w:right w:val="nil"/>
            </w:tcBorders>
            <w:shd w:val="clear" w:color="auto" w:fill="002060"/>
          </w:tcPr>
          <w:p w14:paraId="50B58AEC" w14:textId="77777777" w:rsidR="00B764FC" w:rsidRDefault="00B764FC">
            <w:pPr>
              <w:rPr>
                <w:b/>
                <w:bCs/>
                <w:color w:val="FFFFFF"/>
                <w:sz w:val="20"/>
                <w:szCs w:val="20"/>
              </w:rPr>
            </w:pPr>
            <w:r>
              <w:rPr>
                <w:b/>
                <w:bCs/>
                <w:color w:val="FFFFFF"/>
                <w:sz w:val="20"/>
                <w:szCs w:val="20"/>
              </w:rPr>
              <w:t>Organisations Engaged</w:t>
            </w:r>
          </w:p>
        </w:tc>
      </w:tr>
      <w:tr w:rsidR="00B764FC" w14:paraId="48CF72CC" w14:textId="77777777">
        <w:trPr>
          <w:trHeight w:val="340"/>
        </w:trPr>
        <w:tc>
          <w:tcPr>
            <w:tcW w:w="1980" w:type="dxa"/>
            <w:tcBorders>
              <w:left w:val="nil"/>
              <w:right w:val="nil"/>
            </w:tcBorders>
            <w:vAlign w:val="center"/>
          </w:tcPr>
          <w:p w14:paraId="7DB53FA9" w14:textId="77777777" w:rsidR="00B764FC" w:rsidRDefault="00B764FC">
            <w:pPr>
              <w:rPr>
                <w:b/>
                <w:bCs/>
                <w:sz w:val="20"/>
                <w:szCs w:val="20"/>
              </w:rPr>
            </w:pPr>
            <w:r>
              <w:rPr>
                <w:b/>
                <w:bCs/>
                <w:sz w:val="20"/>
                <w:szCs w:val="20"/>
              </w:rPr>
              <w:t>State Government</w:t>
            </w:r>
          </w:p>
        </w:tc>
        <w:tc>
          <w:tcPr>
            <w:tcW w:w="7030" w:type="dxa"/>
            <w:tcBorders>
              <w:left w:val="nil"/>
              <w:right w:val="nil"/>
            </w:tcBorders>
          </w:tcPr>
          <w:p w14:paraId="2D58272A" w14:textId="77777777" w:rsidR="00B764FC" w:rsidRDefault="00B764FC">
            <w:pPr>
              <w:rPr>
                <w:sz w:val="20"/>
                <w:szCs w:val="20"/>
              </w:rPr>
            </w:pPr>
            <w:r>
              <w:rPr>
                <w:sz w:val="20"/>
                <w:szCs w:val="20"/>
              </w:rPr>
              <w:t>Department of Health and Human Services (DHHS) Office of Housing (OoH)</w:t>
            </w:r>
          </w:p>
          <w:p w14:paraId="29E337F9" w14:textId="77777777" w:rsidR="00B764FC" w:rsidRDefault="00B764FC">
            <w:pPr>
              <w:rPr>
                <w:sz w:val="20"/>
                <w:szCs w:val="20"/>
              </w:rPr>
            </w:pPr>
            <w:r>
              <w:rPr>
                <w:sz w:val="20"/>
                <w:szCs w:val="20"/>
              </w:rPr>
              <w:t>Barwon Water</w:t>
            </w:r>
          </w:p>
          <w:p w14:paraId="0CE70A66" w14:textId="77777777" w:rsidR="00B764FC" w:rsidRDefault="00B764FC">
            <w:pPr>
              <w:rPr>
                <w:sz w:val="20"/>
                <w:szCs w:val="20"/>
              </w:rPr>
            </w:pPr>
            <w:r>
              <w:rPr>
                <w:sz w:val="20"/>
                <w:szCs w:val="20"/>
              </w:rPr>
              <w:t>Barwon Health</w:t>
            </w:r>
          </w:p>
          <w:p w14:paraId="1686B4B6" w14:textId="77777777" w:rsidR="00B764FC" w:rsidRDefault="00B764FC">
            <w:pPr>
              <w:rPr>
                <w:sz w:val="20"/>
                <w:szCs w:val="20"/>
              </w:rPr>
            </w:pPr>
            <w:r>
              <w:rPr>
                <w:sz w:val="20"/>
                <w:szCs w:val="20"/>
              </w:rPr>
              <w:t>Department of Justice</w:t>
            </w:r>
          </w:p>
        </w:tc>
      </w:tr>
      <w:tr w:rsidR="00B764FC" w14:paraId="49D94D51" w14:textId="77777777">
        <w:trPr>
          <w:trHeight w:val="340"/>
        </w:trPr>
        <w:tc>
          <w:tcPr>
            <w:tcW w:w="1980" w:type="dxa"/>
            <w:tcBorders>
              <w:left w:val="nil"/>
              <w:right w:val="nil"/>
            </w:tcBorders>
            <w:vAlign w:val="center"/>
          </w:tcPr>
          <w:p w14:paraId="5973DD4A" w14:textId="77777777" w:rsidR="00B764FC" w:rsidRDefault="00B764FC">
            <w:pPr>
              <w:rPr>
                <w:b/>
                <w:bCs/>
                <w:sz w:val="20"/>
                <w:szCs w:val="20"/>
              </w:rPr>
            </w:pPr>
            <w:r>
              <w:rPr>
                <w:b/>
                <w:bCs/>
                <w:sz w:val="20"/>
                <w:szCs w:val="20"/>
              </w:rPr>
              <w:t>Housing Providers</w:t>
            </w:r>
          </w:p>
        </w:tc>
        <w:tc>
          <w:tcPr>
            <w:tcW w:w="7030" w:type="dxa"/>
            <w:tcBorders>
              <w:left w:val="nil"/>
              <w:right w:val="nil"/>
            </w:tcBorders>
          </w:tcPr>
          <w:p w14:paraId="4CFD5046" w14:textId="77777777" w:rsidR="00B764FC" w:rsidRDefault="00B764FC">
            <w:pPr>
              <w:rPr>
                <w:sz w:val="20"/>
                <w:szCs w:val="20"/>
              </w:rPr>
            </w:pPr>
            <w:r>
              <w:rPr>
                <w:sz w:val="20"/>
                <w:szCs w:val="20"/>
              </w:rPr>
              <w:t>Baptcare</w:t>
            </w:r>
          </w:p>
          <w:p w14:paraId="2CFD78F4" w14:textId="77777777" w:rsidR="00B764FC" w:rsidRDefault="00B764FC">
            <w:pPr>
              <w:rPr>
                <w:sz w:val="20"/>
                <w:szCs w:val="20"/>
              </w:rPr>
            </w:pPr>
            <w:r>
              <w:rPr>
                <w:sz w:val="20"/>
                <w:szCs w:val="20"/>
              </w:rPr>
              <w:t>Barwon Homelessness Network</w:t>
            </w:r>
          </w:p>
          <w:p w14:paraId="1315F538" w14:textId="77777777" w:rsidR="00B764FC" w:rsidRDefault="00B764FC">
            <w:pPr>
              <w:rPr>
                <w:sz w:val="20"/>
                <w:szCs w:val="20"/>
              </w:rPr>
            </w:pPr>
            <w:r>
              <w:rPr>
                <w:sz w:val="20"/>
                <w:szCs w:val="20"/>
              </w:rPr>
              <w:t>Central City CERC</w:t>
            </w:r>
          </w:p>
          <w:p w14:paraId="4C6D313F" w14:textId="77777777" w:rsidR="00B764FC" w:rsidRDefault="00B764FC">
            <w:pPr>
              <w:rPr>
                <w:sz w:val="20"/>
                <w:szCs w:val="20"/>
              </w:rPr>
            </w:pPr>
            <w:r>
              <w:rPr>
                <w:sz w:val="20"/>
                <w:szCs w:val="20"/>
              </w:rPr>
              <w:t>Common Equity Housing Limited</w:t>
            </w:r>
          </w:p>
          <w:p w14:paraId="140717CE" w14:textId="77777777" w:rsidR="00B764FC" w:rsidRDefault="00B764FC">
            <w:pPr>
              <w:rPr>
                <w:sz w:val="20"/>
                <w:szCs w:val="20"/>
              </w:rPr>
            </w:pPr>
            <w:r>
              <w:rPr>
                <w:sz w:val="20"/>
                <w:szCs w:val="20"/>
              </w:rPr>
              <w:t>Haven Home Safe</w:t>
            </w:r>
          </w:p>
          <w:p w14:paraId="6F28EC1C" w14:textId="77777777" w:rsidR="00B764FC" w:rsidRDefault="00B764FC">
            <w:pPr>
              <w:rPr>
                <w:sz w:val="20"/>
                <w:szCs w:val="20"/>
              </w:rPr>
            </w:pPr>
            <w:r>
              <w:rPr>
                <w:sz w:val="20"/>
                <w:szCs w:val="20"/>
              </w:rPr>
              <w:t>Homes-for-Homes</w:t>
            </w:r>
          </w:p>
          <w:p w14:paraId="0FF6E9CF" w14:textId="77777777" w:rsidR="00B764FC" w:rsidRDefault="00B764FC">
            <w:pPr>
              <w:rPr>
                <w:sz w:val="20"/>
                <w:szCs w:val="20"/>
              </w:rPr>
            </w:pPr>
            <w:r>
              <w:rPr>
                <w:sz w:val="20"/>
                <w:szCs w:val="20"/>
              </w:rPr>
              <w:t>Housing Choices Australia</w:t>
            </w:r>
          </w:p>
          <w:p w14:paraId="0E745297" w14:textId="77777777" w:rsidR="00B764FC" w:rsidRDefault="00B764FC">
            <w:pPr>
              <w:rPr>
                <w:sz w:val="20"/>
                <w:szCs w:val="20"/>
              </w:rPr>
            </w:pPr>
            <w:r>
              <w:rPr>
                <w:sz w:val="20"/>
                <w:szCs w:val="20"/>
              </w:rPr>
              <w:t>Kids Under Cover</w:t>
            </w:r>
          </w:p>
          <w:p w14:paraId="1F911AA9" w14:textId="77777777" w:rsidR="00B764FC" w:rsidRDefault="00B764FC">
            <w:pPr>
              <w:rPr>
                <w:sz w:val="20"/>
                <w:szCs w:val="20"/>
              </w:rPr>
            </w:pPr>
            <w:r>
              <w:rPr>
                <w:sz w:val="20"/>
                <w:szCs w:val="20"/>
              </w:rPr>
              <w:t>Lazarus House Geelong</w:t>
            </w:r>
          </w:p>
          <w:p w14:paraId="1CB89AE4" w14:textId="77777777" w:rsidR="00B764FC" w:rsidRDefault="00B764FC">
            <w:pPr>
              <w:rPr>
                <w:sz w:val="20"/>
                <w:szCs w:val="20"/>
              </w:rPr>
            </w:pPr>
            <w:r>
              <w:rPr>
                <w:sz w:val="20"/>
                <w:szCs w:val="20"/>
              </w:rPr>
              <w:t>North Geelong Rental Housing Co-operative (NGRHC)</w:t>
            </w:r>
          </w:p>
          <w:p w14:paraId="711AD9F8" w14:textId="77777777" w:rsidR="00B764FC" w:rsidRDefault="00B764FC">
            <w:pPr>
              <w:rPr>
                <w:sz w:val="20"/>
                <w:szCs w:val="20"/>
              </w:rPr>
            </w:pPr>
            <w:r>
              <w:rPr>
                <w:sz w:val="20"/>
                <w:szCs w:val="20"/>
              </w:rPr>
              <w:t>Samaritan House Geelong</w:t>
            </w:r>
          </w:p>
          <w:p w14:paraId="2E28E153" w14:textId="77777777" w:rsidR="00B764FC" w:rsidRDefault="00B764FC">
            <w:pPr>
              <w:rPr>
                <w:sz w:val="20"/>
                <w:szCs w:val="20"/>
              </w:rPr>
            </w:pPr>
            <w:r>
              <w:rPr>
                <w:sz w:val="20"/>
                <w:szCs w:val="20"/>
              </w:rPr>
              <w:t>Sirovilla</w:t>
            </w:r>
          </w:p>
          <w:p w14:paraId="71590C15" w14:textId="77777777" w:rsidR="00B764FC" w:rsidRDefault="00B764FC">
            <w:pPr>
              <w:rPr>
                <w:sz w:val="20"/>
                <w:szCs w:val="20"/>
              </w:rPr>
            </w:pPr>
            <w:r>
              <w:rPr>
                <w:sz w:val="20"/>
                <w:szCs w:val="20"/>
              </w:rPr>
              <w:t>Wathaurong Aboriginal Co-operative</w:t>
            </w:r>
          </w:p>
          <w:p w14:paraId="00318728" w14:textId="77777777" w:rsidR="00B764FC" w:rsidRDefault="00B764FC">
            <w:pPr>
              <w:rPr>
                <w:sz w:val="20"/>
                <w:szCs w:val="20"/>
              </w:rPr>
            </w:pPr>
            <w:r>
              <w:rPr>
                <w:sz w:val="20"/>
                <w:szCs w:val="20"/>
              </w:rPr>
              <w:t>Wintringham</w:t>
            </w:r>
          </w:p>
          <w:p w14:paraId="071AB106" w14:textId="77777777" w:rsidR="00B764FC" w:rsidRDefault="00B764FC">
            <w:pPr>
              <w:rPr>
                <w:sz w:val="20"/>
                <w:szCs w:val="20"/>
              </w:rPr>
            </w:pPr>
            <w:r>
              <w:rPr>
                <w:sz w:val="20"/>
                <w:szCs w:val="20"/>
              </w:rPr>
              <w:t xml:space="preserve">Women’s Property Initiative </w:t>
            </w:r>
          </w:p>
          <w:p w14:paraId="2605DC18" w14:textId="77777777" w:rsidR="00B764FC" w:rsidRDefault="00B764FC">
            <w:pPr>
              <w:rPr>
                <w:sz w:val="20"/>
                <w:szCs w:val="20"/>
              </w:rPr>
            </w:pPr>
            <w:r>
              <w:rPr>
                <w:sz w:val="20"/>
                <w:szCs w:val="20"/>
              </w:rPr>
              <w:t>Yangzhou Tonglee Container</w:t>
            </w:r>
          </w:p>
        </w:tc>
      </w:tr>
      <w:tr w:rsidR="00B764FC" w14:paraId="1803C3B6" w14:textId="77777777">
        <w:trPr>
          <w:trHeight w:val="340"/>
        </w:trPr>
        <w:tc>
          <w:tcPr>
            <w:tcW w:w="1980" w:type="dxa"/>
            <w:tcBorders>
              <w:left w:val="nil"/>
              <w:right w:val="nil"/>
            </w:tcBorders>
            <w:vAlign w:val="center"/>
          </w:tcPr>
          <w:p w14:paraId="3077E765" w14:textId="77777777" w:rsidR="00B764FC" w:rsidRDefault="00B764FC">
            <w:pPr>
              <w:rPr>
                <w:b/>
                <w:bCs/>
                <w:sz w:val="20"/>
                <w:szCs w:val="20"/>
              </w:rPr>
            </w:pPr>
            <w:r>
              <w:rPr>
                <w:b/>
                <w:bCs/>
                <w:sz w:val="20"/>
                <w:szCs w:val="20"/>
              </w:rPr>
              <w:t xml:space="preserve">Health and Community Services </w:t>
            </w:r>
          </w:p>
        </w:tc>
        <w:tc>
          <w:tcPr>
            <w:tcW w:w="7030" w:type="dxa"/>
            <w:tcBorders>
              <w:left w:val="nil"/>
              <w:right w:val="nil"/>
            </w:tcBorders>
          </w:tcPr>
          <w:p w14:paraId="02F4CA16" w14:textId="77777777" w:rsidR="00B764FC" w:rsidRDefault="00B764FC">
            <w:pPr>
              <w:rPr>
                <w:sz w:val="20"/>
                <w:szCs w:val="20"/>
              </w:rPr>
            </w:pPr>
            <w:r>
              <w:rPr>
                <w:sz w:val="20"/>
                <w:szCs w:val="20"/>
              </w:rPr>
              <w:t>Barwon Child Youth and Family</w:t>
            </w:r>
          </w:p>
          <w:p w14:paraId="03F970E8" w14:textId="77777777" w:rsidR="00B764FC" w:rsidRDefault="00B764FC">
            <w:pPr>
              <w:rPr>
                <w:sz w:val="20"/>
                <w:szCs w:val="20"/>
              </w:rPr>
            </w:pPr>
            <w:r>
              <w:rPr>
                <w:sz w:val="20"/>
                <w:szCs w:val="20"/>
              </w:rPr>
              <w:t>Barwon Health</w:t>
            </w:r>
          </w:p>
          <w:p w14:paraId="136D2FA1" w14:textId="77777777" w:rsidR="00B764FC" w:rsidRDefault="00B764FC">
            <w:pPr>
              <w:rPr>
                <w:sz w:val="20"/>
                <w:szCs w:val="20"/>
              </w:rPr>
            </w:pPr>
            <w:r>
              <w:rPr>
                <w:sz w:val="20"/>
                <w:szCs w:val="20"/>
              </w:rPr>
              <w:t xml:space="preserve">Bellarine Community Health </w:t>
            </w:r>
          </w:p>
          <w:p w14:paraId="5EC8F890" w14:textId="77777777" w:rsidR="00B764FC" w:rsidRDefault="00B764FC">
            <w:pPr>
              <w:rPr>
                <w:sz w:val="20"/>
                <w:szCs w:val="20"/>
              </w:rPr>
            </w:pPr>
            <w:r>
              <w:rPr>
                <w:sz w:val="20"/>
                <w:szCs w:val="20"/>
              </w:rPr>
              <w:t>Bethany Community Support</w:t>
            </w:r>
          </w:p>
          <w:p w14:paraId="5EF48909" w14:textId="77777777" w:rsidR="00B764FC" w:rsidRDefault="00B764FC">
            <w:pPr>
              <w:rPr>
                <w:sz w:val="20"/>
                <w:szCs w:val="20"/>
              </w:rPr>
            </w:pPr>
            <w:r>
              <w:rPr>
                <w:sz w:val="20"/>
                <w:szCs w:val="20"/>
              </w:rPr>
              <w:t>Diversitat</w:t>
            </w:r>
          </w:p>
          <w:p w14:paraId="663A02D2" w14:textId="77777777" w:rsidR="00B764FC" w:rsidRDefault="00B764FC">
            <w:pPr>
              <w:rPr>
                <w:sz w:val="20"/>
                <w:szCs w:val="20"/>
              </w:rPr>
            </w:pPr>
            <w:r>
              <w:rPr>
                <w:sz w:val="20"/>
                <w:szCs w:val="20"/>
              </w:rPr>
              <w:t>Gateway Support Services</w:t>
            </w:r>
          </w:p>
          <w:p w14:paraId="5A8B2959" w14:textId="77777777" w:rsidR="00B764FC" w:rsidRDefault="00B764FC">
            <w:pPr>
              <w:rPr>
                <w:sz w:val="20"/>
                <w:szCs w:val="20"/>
              </w:rPr>
            </w:pPr>
            <w:r>
              <w:rPr>
                <w:sz w:val="20"/>
                <w:szCs w:val="20"/>
              </w:rPr>
              <w:t xml:space="preserve">H.C.A. </w:t>
            </w:r>
          </w:p>
          <w:p w14:paraId="27BE2D3A" w14:textId="77777777" w:rsidR="00B764FC" w:rsidRDefault="00B764FC">
            <w:pPr>
              <w:rPr>
                <w:sz w:val="20"/>
                <w:szCs w:val="20"/>
              </w:rPr>
            </w:pPr>
            <w:r>
              <w:rPr>
                <w:sz w:val="20"/>
                <w:szCs w:val="20"/>
              </w:rPr>
              <w:t>MacKillop Family Services</w:t>
            </w:r>
          </w:p>
          <w:p w14:paraId="45D9C125" w14:textId="77777777" w:rsidR="00B764FC" w:rsidRDefault="00B764FC">
            <w:pPr>
              <w:rPr>
                <w:sz w:val="20"/>
                <w:szCs w:val="20"/>
              </w:rPr>
            </w:pPr>
            <w:r>
              <w:rPr>
                <w:sz w:val="20"/>
                <w:szCs w:val="20"/>
              </w:rPr>
              <w:t>Red Cross</w:t>
            </w:r>
          </w:p>
          <w:p w14:paraId="4DD36F53" w14:textId="77777777" w:rsidR="00B764FC" w:rsidRDefault="00B764FC">
            <w:pPr>
              <w:rPr>
                <w:sz w:val="20"/>
                <w:szCs w:val="20"/>
              </w:rPr>
            </w:pPr>
            <w:r>
              <w:rPr>
                <w:sz w:val="20"/>
                <w:szCs w:val="20"/>
              </w:rPr>
              <w:t>Salvation Army</w:t>
            </w:r>
          </w:p>
          <w:p w14:paraId="4362968C" w14:textId="77777777" w:rsidR="00B764FC" w:rsidRDefault="00B764FC">
            <w:pPr>
              <w:rPr>
                <w:sz w:val="20"/>
                <w:szCs w:val="20"/>
              </w:rPr>
            </w:pPr>
            <w:r>
              <w:rPr>
                <w:sz w:val="20"/>
                <w:szCs w:val="20"/>
              </w:rPr>
              <w:t>Victorian Association for the Care and Resettlement of Offenders (VACRO)</w:t>
            </w:r>
          </w:p>
          <w:p w14:paraId="38365911" w14:textId="77777777" w:rsidR="00B764FC" w:rsidRDefault="00B764FC">
            <w:pPr>
              <w:rPr>
                <w:sz w:val="20"/>
                <w:szCs w:val="20"/>
              </w:rPr>
            </w:pPr>
            <w:r>
              <w:rPr>
                <w:sz w:val="20"/>
                <w:szCs w:val="20"/>
              </w:rPr>
              <w:t>Wathaurong Aboriginal Co-operative</w:t>
            </w:r>
          </w:p>
        </w:tc>
      </w:tr>
      <w:tr w:rsidR="00B764FC" w14:paraId="444404CB" w14:textId="77777777">
        <w:trPr>
          <w:trHeight w:val="340"/>
        </w:trPr>
        <w:tc>
          <w:tcPr>
            <w:tcW w:w="1980" w:type="dxa"/>
            <w:tcBorders>
              <w:left w:val="nil"/>
              <w:right w:val="nil"/>
            </w:tcBorders>
            <w:vAlign w:val="center"/>
          </w:tcPr>
          <w:p w14:paraId="6377CB1F" w14:textId="77777777" w:rsidR="00B764FC" w:rsidRDefault="00B764FC">
            <w:pPr>
              <w:rPr>
                <w:b/>
                <w:bCs/>
                <w:sz w:val="20"/>
                <w:szCs w:val="20"/>
              </w:rPr>
            </w:pPr>
            <w:r>
              <w:rPr>
                <w:b/>
                <w:bCs/>
                <w:sz w:val="20"/>
                <w:szCs w:val="20"/>
              </w:rPr>
              <w:t>Development Industry</w:t>
            </w:r>
          </w:p>
        </w:tc>
        <w:tc>
          <w:tcPr>
            <w:tcW w:w="7030" w:type="dxa"/>
            <w:tcBorders>
              <w:left w:val="nil"/>
              <w:right w:val="nil"/>
            </w:tcBorders>
          </w:tcPr>
          <w:p w14:paraId="05B85256" w14:textId="77777777" w:rsidR="00B764FC" w:rsidRDefault="00B764FC">
            <w:pPr>
              <w:rPr>
                <w:sz w:val="20"/>
                <w:szCs w:val="20"/>
              </w:rPr>
            </w:pPr>
            <w:r>
              <w:rPr>
                <w:sz w:val="20"/>
                <w:szCs w:val="20"/>
              </w:rPr>
              <w:t>Hamlan Homes</w:t>
            </w:r>
          </w:p>
          <w:p w14:paraId="0B3B5A34" w14:textId="77777777" w:rsidR="00B764FC" w:rsidRDefault="00B764FC">
            <w:pPr>
              <w:rPr>
                <w:sz w:val="20"/>
                <w:szCs w:val="20"/>
              </w:rPr>
            </w:pPr>
            <w:r>
              <w:rPr>
                <w:sz w:val="20"/>
                <w:szCs w:val="20"/>
              </w:rPr>
              <w:t>Ramsay Property Group</w:t>
            </w:r>
          </w:p>
          <w:p w14:paraId="7F002FC3" w14:textId="77777777" w:rsidR="00B764FC" w:rsidRDefault="00B764FC">
            <w:pPr>
              <w:rPr>
                <w:sz w:val="20"/>
                <w:szCs w:val="20"/>
              </w:rPr>
            </w:pPr>
            <w:r>
              <w:rPr>
                <w:sz w:val="20"/>
                <w:szCs w:val="20"/>
              </w:rPr>
              <w:t>APD Projects</w:t>
            </w:r>
          </w:p>
          <w:p w14:paraId="453558DB" w14:textId="77777777" w:rsidR="00B764FC" w:rsidRDefault="00B764FC">
            <w:pPr>
              <w:rPr>
                <w:sz w:val="20"/>
                <w:szCs w:val="20"/>
              </w:rPr>
            </w:pPr>
            <w:r>
              <w:rPr>
                <w:sz w:val="20"/>
                <w:szCs w:val="20"/>
              </w:rPr>
              <w:t>MESH Planning</w:t>
            </w:r>
          </w:p>
          <w:p w14:paraId="2A9E9DB4" w14:textId="77777777" w:rsidR="00B764FC" w:rsidRDefault="00B764FC">
            <w:pPr>
              <w:rPr>
                <w:sz w:val="20"/>
                <w:szCs w:val="20"/>
              </w:rPr>
            </w:pPr>
            <w:r>
              <w:rPr>
                <w:sz w:val="20"/>
                <w:szCs w:val="20"/>
              </w:rPr>
              <w:t>UDIA Geelong members</w:t>
            </w:r>
          </w:p>
          <w:p w14:paraId="2214DB8F" w14:textId="77777777" w:rsidR="00B764FC" w:rsidRDefault="00B764FC">
            <w:pPr>
              <w:rPr>
                <w:sz w:val="20"/>
                <w:szCs w:val="20"/>
              </w:rPr>
            </w:pPr>
            <w:r>
              <w:rPr>
                <w:sz w:val="20"/>
                <w:szCs w:val="20"/>
              </w:rPr>
              <w:t>Nestd</w:t>
            </w:r>
          </w:p>
          <w:p w14:paraId="1537B646" w14:textId="77777777" w:rsidR="00B764FC" w:rsidRDefault="00B764FC">
            <w:pPr>
              <w:rPr>
                <w:sz w:val="20"/>
                <w:szCs w:val="20"/>
              </w:rPr>
            </w:pPr>
            <w:r>
              <w:rPr>
                <w:sz w:val="20"/>
                <w:szCs w:val="20"/>
              </w:rPr>
              <w:t>Deakin University Home Research Hub</w:t>
            </w:r>
          </w:p>
          <w:p w14:paraId="15584D2F" w14:textId="77777777" w:rsidR="00B764FC" w:rsidRDefault="00B764FC">
            <w:pPr>
              <w:rPr>
                <w:sz w:val="20"/>
                <w:szCs w:val="20"/>
              </w:rPr>
            </w:pPr>
            <w:r>
              <w:rPr>
                <w:sz w:val="20"/>
                <w:szCs w:val="20"/>
              </w:rPr>
              <w:t>Tract Consultants</w:t>
            </w:r>
          </w:p>
          <w:p w14:paraId="7795CEED" w14:textId="77777777" w:rsidR="00B764FC" w:rsidRDefault="00B764FC">
            <w:pPr>
              <w:rPr>
                <w:sz w:val="20"/>
                <w:szCs w:val="20"/>
              </w:rPr>
            </w:pPr>
            <w:r>
              <w:rPr>
                <w:sz w:val="20"/>
                <w:szCs w:val="20"/>
              </w:rPr>
              <w:t>Lovely Banks Development</w:t>
            </w:r>
          </w:p>
          <w:p w14:paraId="4930458B" w14:textId="77777777" w:rsidR="00B764FC" w:rsidRDefault="00B764FC">
            <w:pPr>
              <w:rPr>
                <w:sz w:val="20"/>
                <w:szCs w:val="20"/>
              </w:rPr>
            </w:pPr>
            <w:r>
              <w:rPr>
                <w:sz w:val="20"/>
                <w:szCs w:val="20"/>
              </w:rPr>
              <w:t>Western Growth Area development</w:t>
            </w:r>
          </w:p>
          <w:p w14:paraId="5BE8D19E" w14:textId="77777777" w:rsidR="00B764FC" w:rsidRDefault="00B764FC">
            <w:pPr>
              <w:rPr>
                <w:sz w:val="20"/>
                <w:szCs w:val="20"/>
              </w:rPr>
            </w:pPr>
            <w:r>
              <w:rPr>
                <w:sz w:val="20"/>
                <w:szCs w:val="20"/>
              </w:rPr>
              <w:t>Maddocks Lawyers</w:t>
            </w:r>
          </w:p>
          <w:p w14:paraId="0DBE785D" w14:textId="77777777" w:rsidR="00B764FC" w:rsidRDefault="00B764FC">
            <w:pPr>
              <w:rPr>
                <w:sz w:val="20"/>
                <w:szCs w:val="20"/>
              </w:rPr>
            </w:pPr>
            <w:r>
              <w:rPr>
                <w:sz w:val="20"/>
                <w:szCs w:val="20"/>
              </w:rPr>
              <w:t>Dalton Consulting Engineers</w:t>
            </w:r>
          </w:p>
          <w:p w14:paraId="5F1C32B8" w14:textId="77777777" w:rsidR="00B764FC" w:rsidRDefault="00B764FC">
            <w:pPr>
              <w:rPr>
                <w:sz w:val="20"/>
                <w:szCs w:val="20"/>
              </w:rPr>
            </w:pPr>
            <w:r>
              <w:rPr>
                <w:sz w:val="20"/>
                <w:szCs w:val="20"/>
              </w:rPr>
              <w:t>Ratio Consulting</w:t>
            </w:r>
          </w:p>
          <w:p w14:paraId="57D299C1" w14:textId="77777777" w:rsidR="00B764FC" w:rsidRDefault="00B764FC">
            <w:pPr>
              <w:rPr>
                <w:sz w:val="20"/>
                <w:szCs w:val="20"/>
              </w:rPr>
            </w:pPr>
            <w:r>
              <w:rPr>
                <w:sz w:val="20"/>
                <w:szCs w:val="20"/>
              </w:rPr>
              <w:t>WT Partnership</w:t>
            </w:r>
          </w:p>
          <w:p w14:paraId="456163F2" w14:textId="77777777" w:rsidR="00B764FC" w:rsidRDefault="00B764FC">
            <w:pPr>
              <w:rPr>
                <w:sz w:val="20"/>
                <w:szCs w:val="20"/>
              </w:rPr>
            </w:pPr>
            <w:r>
              <w:rPr>
                <w:sz w:val="20"/>
                <w:szCs w:val="20"/>
              </w:rPr>
              <w:t>Mesh Planning</w:t>
            </w:r>
          </w:p>
        </w:tc>
      </w:tr>
      <w:tr w:rsidR="00B764FC" w14:paraId="707278B8" w14:textId="77777777">
        <w:trPr>
          <w:trHeight w:val="340"/>
        </w:trPr>
        <w:tc>
          <w:tcPr>
            <w:tcW w:w="1980" w:type="dxa"/>
            <w:tcBorders>
              <w:left w:val="nil"/>
              <w:right w:val="nil"/>
            </w:tcBorders>
            <w:vAlign w:val="center"/>
          </w:tcPr>
          <w:p w14:paraId="0078BD56" w14:textId="77777777" w:rsidR="00B764FC" w:rsidRDefault="00B764FC">
            <w:pPr>
              <w:rPr>
                <w:b/>
                <w:bCs/>
                <w:sz w:val="20"/>
                <w:szCs w:val="20"/>
              </w:rPr>
            </w:pPr>
            <w:r>
              <w:rPr>
                <w:b/>
                <w:bCs/>
                <w:sz w:val="20"/>
                <w:szCs w:val="20"/>
              </w:rPr>
              <w:t>General Community</w:t>
            </w:r>
          </w:p>
        </w:tc>
        <w:tc>
          <w:tcPr>
            <w:tcW w:w="7030" w:type="dxa"/>
            <w:tcBorders>
              <w:left w:val="nil"/>
              <w:right w:val="nil"/>
            </w:tcBorders>
          </w:tcPr>
          <w:p w14:paraId="33043AB3" w14:textId="77777777" w:rsidR="00B764FC" w:rsidRDefault="00B764FC">
            <w:pPr>
              <w:rPr>
                <w:sz w:val="20"/>
                <w:szCs w:val="20"/>
              </w:rPr>
            </w:pPr>
            <w:r>
              <w:rPr>
                <w:sz w:val="20"/>
                <w:szCs w:val="20"/>
              </w:rPr>
              <w:t>Portarlington Community Association</w:t>
            </w:r>
          </w:p>
          <w:p w14:paraId="444CB02F" w14:textId="77777777" w:rsidR="00B764FC" w:rsidRDefault="00B764FC">
            <w:pPr>
              <w:rPr>
                <w:sz w:val="20"/>
                <w:szCs w:val="20"/>
              </w:rPr>
            </w:pPr>
            <w:r>
              <w:rPr>
                <w:sz w:val="20"/>
                <w:szCs w:val="20"/>
              </w:rPr>
              <w:t xml:space="preserve">City of Greater Geelong Access and Inclusion Advisory Committee  </w:t>
            </w:r>
          </w:p>
          <w:p w14:paraId="4D0FC12B" w14:textId="77777777" w:rsidR="00B764FC" w:rsidRDefault="00B764FC">
            <w:pPr>
              <w:rPr>
                <w:sz w:val="20"/>
                <w:szCs w:val="20"/>
              </w:rPr>
            </w:pPr>
            <w:r>
              <w:rPr>
                <w:sz w:val="20"/>
                <w:szCs w:val="20"/>
              </w:rPr>
              <w:t>Community Members at Community Forum (84)</w:t>
            </w:r>
          </w:p>
        </w:tc>
      </w:tr>
    </w:tbl>
    <w:p w14:paraId="728E0C79" w14:textId="77777777" w:rsidR="00B764FC" w:rsidRDefault="00B764FC">
      <w:pPr>
        <w:pStyle w:val="Caption"/>
        <w:keepNext/>
        <w:sectPr w:rsidR="00B764FC">
          <w:footerReference w:type="default" r:id="rId36"/>
          <w:pgSz w:w="11907" w:h="16840" w:code="9"/>
          <w:pgMar w:top="1440" w:right="1275" w:bottom="1701" w:left="1418" w:header="709" w:footer="709" w:gutter="0"/>
          <w:cols w:space="708"/>
          <w:docGrid w:linePitch="360"/>
        </w:sectPr>
      </w:pPr>
      <w:r>
        <w:br w:type="page"/>
      </w:r>
    </w:p>
    <w:p w14:paraId="4E8171DF" w14:textId="355E9782" w:rsidR="00B764FC" w:rsidRDefault="00B764FC">
      <w:pPr>
        <w:pStyle w:val="Caption"/>
        <w:keepNext/>
        <w:rPr>
          <w:b/>
          <w:bCs/>
        </w:rPr>
      </w:pPr>
      <w:bookmarkStart w:id="167" w:name="_Toc22120059"/>
      <w:r>
        <w:rPr>
          <w:b/>
          <w:bCs/>
        </w:rPr>
        <w:lastRenderedPageBreak/>
        <w:t xml:space="preserve">Table </w:t>
      </w:r>
      <w:r w:rsidR="00FF5CA4">
        <w:rPr>
          <w:b/>
          <w:bCs/>
        </w:rPr>
        <w:fldChar w:fldCharType="begin"/>
      </w:r>
      <w:r>
        <w:rPr>
          <w:b/>
          <w:bCs/>
        </w:rPr>
        <w:instrText xml:space="preserve"> SEQ Table \* ARABIC </w:instrText>
      </w:r>
      <w:r w:rsidR="00FF5CA4">
        <w:rPr>
          <w:b/>
          <w:bCs/>
        </w:rPr>
        <w:fldChar w:fldCharType="separate"/>
      </w:r>
      <w:r w:rsidR="00BB479E">
        <w:rPr>
          <w:b/>
          <w:bCs/>
          <w:noProof/>
        </w:rPr>
        <w:t>24</w:t>
      </w:r>
      <w:r w:rsidR="00FF5CA4">
        <w:rPr>
          <w:b/>
          <w:bCs/>
        </w:rPr>
        <w:fldChar w:fldCharType="end"/>
      </w:r>
      <w:r>
        <w:rPr>
          <w:b/>
          <w:bCs/>
        </w:rPr>
        <w:t>: Policy Context - Key Issues</w:t>
      </w:r>
      <w:bookmarkEnd w:id="167"/>
      <w:r>
        <w:rPr>
          <w:b/>
          <w:bCs/>
        </w:rPr>
        <w:t xml:space="preserve"> </w:t>
      </w:r>
    </w:p>
    <w:tbl>
      <w:tblPr>
        <w:tblW w:w="0" w:type="auto"/>
        <w:tblInd w:w="-106" w:type="dxa"/>
        <w:tblBorders>
          <w:insideH w:val="single" w:sz="4" w:space="0" w:color="auto"/>
        </w:tblBorders>
        <w:tblLayout w:type="fixed"/>
        <w:tblLook w:val="0000" w:firstRow="0" w:lastRow="0" w:firstColumn="0" w:lastColumn="0" w:noHBand="0" w:noVBand="0"/>
      </w:tblPr>
      <w:tblGrid>
        <w:gridCol w:w="1161"/>
        <w:gridCol w:w="3497"/>
        <w:gridCol w:w="3094"/>
        <w:gridCol w:w="2973"/>
        <w:gridCol w:w="3733"/>
      </w:tblGrid>
      <w:tr w:rsidR="00B764FC" w14:paraId="3361D3D3" w14:textId="77777777" w:rsidTr="00795274">
        <w:trPr>
          <w:cantSplit/>
          <w:trHeight w:val="293"/>
          <w:tblHeader/>
        </w:trPr>
        <w:tc>
          <w:tcPr>
            <w:tcW w:w="1161" w:type="dxa"/>
            <w:vMerge w:val="restart"/>
            <w:tcBorders>
              <w:top w:val="nil"/>
              <w:left w:val="nil"/>
              <w:right w:val="nil"/>
            </w:tcBorders>
            <w:shd w:val="clear" w:color="auto" w:fill="002060"/>
            <w:vAlign w:val="center"/>
          </w:tcPr>
          <w:p w14:paraId="56FA51DA" w14:textId="77777777" w:rsidR="00B764FC" w:rsidRDefault="00B764FC">
            <w:pPr>
              <w:jc w:val="center"/>
              <w:rPr>
                <w:b/>
                <w:bCs/>
                <w:color w:val="FFFFFF"/>
                <w:sz w:val="18"/>
                <w:szCs w:val="18"/>
              </w:rPr>
            </w:pPr>
            <w:r>
              <w:rPr>
                <w:b/>
                <w:bCs/>
                <w:color w:val="FFFFFF"/>
                <w:sz w:val="18"/>
                <w:szCs w:val="18"/>
              </w:rPr>
              <w:t>Key Themes</w:t>
            </w:r>
          </w:p>
        </w:tc>
        <w:tc>
          <w:tcPr>
            <w:tcW w:w="3497" w:type="dxa"/>
            <w:vMerge w:val="restart"/>
            <w:tcBorders>
              <w:top w:val="nil"/>
              <w:left w:val="nil"/>
              <w:right w:val="nil"/>
            </w:tcBorders>
            <w:shd w:val="clear" w:color="auto" w:fill="002060"/>
            <w:vAlign w:val="center"/>
          </w:tcPr>
          <w:p w14:paraId="5C22E9DE" w14:textId="77777777" w:rsidR="00B764FC" w:rsidRDefault="00B764FC">
            <w:pPr>
              <w:jc w:val="center"/>
              <w:rPr>
                <w:b/>
                <w:bCs/>
                <w:color w:val="FFFFFF"/>
                <w:sz w:val="18"/>
                <w:szCs w:val="18"/>
              </w:rPr>
            </w:pPr>
            <w:r>
              <w:rPr>
                <w:b/>
                <w:bCs/>
                <w:color w:val="FFFFFF"/>
                <w:sz w:val="18"/>
                <w:szCs w:val="18"/>
              </w:rPr>
              <w:t>Commonwealth Government of Australia</w:t>
            </w:r>
          </w:p>
        </w:tc>
        <w:tc>
          <w:tcPr>
            <w:tcW w:w="3094" w:type="dxa"/>
            <w:vMerge w:val="restart"/>
            <w:tcBorders>
              <w:top w:val="nil"/>
              <w:left w:val="nil"/>
              <w:right w:val="nil"/>
            </w:tcBorders>
            <w:shd w:val="clear" w:color="auto" w:fill="002060"/>
            <w:vAlign w:val="center"/>
          </w:tcPr>
          <w:p w14:paraId="4272C30A" w14:textId="77777777" w:rsidR="00B764FC" w:rsidRDefault="00B764FC">
            <w:pPr>
              <w:jc w:val="center"/>
              <w:rPr>
                <w:b/>
                <w:bCs/>
                <w:color w:val="FFFFFF"/>
                <w:sz w:val="18"/>
                <w:szCs w:val="18"/>
              </w:rPr>
            </w:pPr>
            <w:r>
              <w:rPr>
                <w:b/>
                <w:bCs/>
                <w:color w:val="FFFFFF"/>
                <w:sz w:val="18"/>
                <w:szCs w:val="18"/>
              </w:rPr>
              <w:t>State Government of Victoria</w:t>
            </w:r>
          </w:p>
        </w:tc>
        <w:tc>
          <w:tcPr>
            <w:tcW w:w="2973" w:type="dxa"/>
            <w:vMerge w:val="restart"/>
            <w:tcBorders>
              <w:top w:val="nil"/>
              <w:left w:val="nil"/>
              <w:right w:val="nil"/>
            </w:tcBorders>
            <w:shd w:val="clear" w:color="auto" w:fill="002060"/>
            <w:vAlign w:val="center"/>
          </w:tcPr>
          <w:p w14:paraId="47B124DC" w14:textId="77777777" w:rsidR="00B764FC" w:rsidRDefault="00B764FC">
            <w:pPr>
              <w:jc w:val="center"/>
              <w:rPr>
                <w:b/>
                <w:bCs/>
                <w:color w:val="FFFFFF"/>
                <w:sz w:val="18"/>
                <w:szCs w:val="18"/>
              </w:rPr>
            </w:pPr>
            <w:r>
              <w:rPr>
                <w:b/>
                <w:bCs/>
                <w:color w:val="FFFFFF"/>
                <w:sz w:val="18"/>
                <w:szCs w:val="18"/>
              </w:rPr>
              <w:t>Regional Level Initiatives</w:t>
            </w:r>
          </w:p>
        </w:tc>
        <w:tc>
          <w:tcPr>
            <w:tcW w:w="3733" w:type="dxa"/>
            <w:vMerge w:val="restart"/>
            <w:tcBorders>
              <w:top w:val="nil"/>
              <w:left w:val="nil"/>
              <w:right w:val="nil"/>
            </w:tcBorders>
            <w:shd w:val="clear" w:color="auto" w:fill="002060"/>
            <w:vAlign w:val="center"/>
          </w:tcPr>
          <w:p w14:paraId="71DFD7AC" w14:textId="77777777" w:rsidR="00B764FC" w:rsidRDefault="00B764FC">
            <w:pPr>
              <w:jc w:val="center"/>
              <w:rPr>
                <w:b/>
                <w:bCs/>
                <w:color w:val="FFFFFF"/>
                <w:sz w:val="18"/>
                <w:szCs w:val="18"/>
              </w:rPr>
            </w:pPr>
            <w:r>
              <w:rPr>
                <w:b/>
                <w:bCs/>
                <w:color w:val="FFFFFF"/>
                <w:sz w:val="18"/>
                <w:szCs w:val="18"/>
              </w:rPr>
              <w:t>City of Greater Geelong</w:t>
            </w:r>
          </w:p>
        </w:tc>
      </w:tr>
      <w:tr w:rsidR="00B764FC" w14:paraId="56FEBBAC" w14:textId="77777777" w:rsidTr="00795274">
        <w:trPr>
          <w:cantSplit/>
          <w:trHeight w:val="293"/>
          <w:tblHeader/>
        </w:trPr>
        <w:tc>
          <w:tcPr>
            <w:tcW w:w="1161" w:type="dxa"/>
            <w:vMerge/>
            <w:tcBorders>
              <w:left w:val="nil"/>
              <w:right w:val="nil"/>
            </w:tcBorders>
            <w:shd w:val="clear" w:color="auto" w:fill="002060"/>
            <w:vAlign w:val="center"/>
          </w:tcPr>
          <w:p w14:paraId="4B0826AF" w14:textId="77777777" w:rsidR="00B764FC" w:rsidRDefault="00B764FC">
            <w:pPr>
              <w:rPr>
                <w:b/>
                <w:bCs/>
                <w:color w:val="FFFFFF"/>
                <w:sz w:val="18"/>
                <w:szCs w:val="18"/>
              </w:rPr>
            </w:pPr>
          </w:p>
        </w:tc>
        <w:tc>
          <w:tcPr>
            <w:tcW w:w="3497" w:type="dxa"/>
            <w:vMerge/>
            <w:tcBorders>
              <w:left w:val="nil"/>
              <w:right w:val="nil"/>
            </w:tcBorders>
            <w:shd w:val="clear" w:color="auto" w:fill="002060"/>
            <w:vAlign w:val="center"/>
          </w:tcPr>
          <w:p w14:paraId="12C0EA08" w14:textId="77777777" w:rsidR="00B764FC" w:rsidRDefault="00B764FC">
            <w:pPr>
              <w:rPr>
                <w:b/>
                <w:bCs/>
                <w:color w:val="FFFFFF"/>
                <w:sz w:val="18"/>
                <w:szCs w:val="18"/>
              </w:rPr>
            </w:pPr>
          </w:p>
        </w:tc>
        <w:tc>
          <w:tcPr>
            <w:tcW w:w="3094" w:type="dxa"/>
            <w:vMerge/>
            <w:tcBorders>
              <w:left w:val="nil"/>
              <w:right w:val="nil"/>
            </w:tcBorders>
            <w:shd w:val="clear" w:color="auto" w:fill="002060"/>
            <w:vAlign w:val="center"/>
          </w:tcPr>
          <w:p w14:paraId="0DDF0250" w14:textId="77777777" w:rsidR="00B764FC" w:rsidRDefault="00B764FC">
            <w:pPr>
              <w:rPr>
                <w:b/>
                <w:bCs/>
                <w:color w:val="FFFFFF"/>
                <w:sz w:val="18"/>
                <w:szCs w:val="18"/>
              </w:rPr>
            </w:pPr>
          </w:p>
        </w:tc>
        <w:tc>
          <w:tcPr>
            <w:tcW w:w="2973" w:type="dxa"/>
            <w:vMerge/>
            <w:tcBorders>
              <w:left w:val="nil"/>
              <w:right w:val="nil"/>
            </w:tcBorders>
            <w:shd w:val="clear" w:color="auto" w:fill="002060"/>
            <w:vAlign w:val="center"/>
          </w:tcPr>
          <w:p w14:paraId="3F685C87" w14:textId="77777777" w:rsidR="00B764FC" w:rsidRDefault="00B764FC">
            <w:pPr>
              <w:rPr>
                <w:b/>
                <w:bCs/>
                <w:color w:val="FFFFFF"/>
                <w:sz w:val="18"/>
                <w:szCs w:val="18"/>
              </w:rPr>
            </w:pPr>
          </w:p>
        </w:tc>
        <w:tc>
          <w:tcPr>
            <w:tcW w:w="3733" w:type="dxa"/>
            <w:vMerge/>
            <w:tcBorders>
              <w:left w:val="nil"/>
              <w:right w:val="nil"/>
            </w:tcBorders>
            <w:shd w:val="clear" w:color="auto" w:fill="002060"/>
            <w:vAlign w:val="center"/>
          </w:tcPr>
          <w:p w14:paraId="21B279FE" w14:textId="77777777" w:rsidR="00B764FC" w:rsidRDefault="00B764FC">
            <w:pPr>
              <w:rPr>
                <w:b/>
                <w:bCs/>
                <w:color w:val="FFFFFF"/>
                <w:sz w:val="18"/>
                <w:szCs w:val="18"/>
              </w:rPr>
            </w:pPr>
          </w:p>
        </w:tc>
      </w:tr>
      <w:tr w:rsidR="00B764FC" w14:paraId="6CB7592D" w14:textId="77777777">
        <w:trPr>
          <w:trHeight w:val="20"/>
        </w:trPr>
        <w:tc>
          <w:tcPr>
            <w:tcW w:w="1161" w:type="dxa"/>
            <w:tcBorders>
              <w:left w:val="nil"/>
              <w:right w:val="nil"/>
            </w:tcBorders>
            <w:shd w:val="clear" w:color="000000" w:fill="808080"/>
            <w:vAlign w:val="center"/>
          </w:tcPr>
          <w:p w14:paraId="05728A62" w14:textId="77777777" w:rsidR="00B764FC" w:rsidRDefault="00B764FC">
            <w:pPr>
              <w:jc w:val="center"/>
              <w:rPr>
                <w:b/>
                <w:bCs/>
                <w:color w:val="FFFFFF"/>
                <w:sz w:val="18"/>
                <w:szCs w:val="18"/>
              </w:rPr>
            </w:pPr>
            <w:r>
              <w:rPr>
                <w:b/>
                <w:bCs/>
                <w:color w:val="FFFFFF"/>
                <w:sz w:val="18"/>
                <w:szCs w:val="18"/>
              </w:rPr>
              <w:t xml:space="preserve">Obligations </w:t>
            </w:r>
          </w:p>
        </w:tc>
        <w:tc>
          <w:tcPr>
            <w:tcW w:w="3497" w:type="dxa"/>
            <w:tcBorders>
              <w:left w:val="nil"/>
              <w:right w:val="nil"/>
            </w:tcBorders>
            <w:vAlign w:val="center"/>
          </w:tcPr>
          <w:p w14:paraId="16337D5D" w14:textId="77777777" w:rsidR="00B764FC" w:rsidRDefault="00B764FC" w:rsidP="00077040">
            <w:pPr>
              <w:pStyle w:val="ListParagraph"/>
              <w:numPr>
                <w:ilvl w:val="0"/>
                <w:numId w:val="8"/>
              </w:numPr>
              <w:spacing w:after="240"/>
              <w:rPr>
                <w:color w:val="000000"/>
                <w:sz w:val="18"/>
                <w:szCs w:val="18"/>
              </w:rPr>
            </w:pPr>
            <w:r>
              <w:rPr>
                <w:color w:val="000000"/>
                <w:sz w:val="18"/>
                <w:szCs w:val="18"/>
              </w:rPr>
              <w:t>The Commonwealth Government controls the vast majority of levers that impact on the demand and supply of housing, and hence the affordability of housing in the general market</w:t>
            </w:r>
          </w:p>
          <w:p w14:paraId="505D0F42" w14:textId="77777777" w:rsidR="00B764FC" w:rsidRDefault="00B764FC">
            <w:pPr>
              <w:tabs>
                <w:tab w:val="left" w:pos="710"/>
              </w:tabs>
              <w:spacing w:after="240"/>
              <w:ind w:left="710" w:hanging="284"/>
              <w:rPr>
                <w:color w:val="000000"/>
                <w:sz w:val="18"/>
                <w:szCs w:val="18"/>
              </w:rPr>
            </w:pPr>
            <w:r>
              <w:rPr>
                <w:color w:val="000000"/>
                <w:sz w:val="18"/>
                <w:szCs w:val="18"/>
              </w:rPr>
              <w:t>2. However, as the level of government which has greatest sway over housing markets the Commonwealth Government has the least direct influence on housing programs</w:t>
            </w:r>
          </w:p>
        </w:tc>
        <w:tc>
          <w:tcPr>
            <w:tcW w:w="3094" w:type="dxa"/>
            <w:tcBorders>
              <w:left w:val="nil"/>
              <w:right w:val="nil"/>
            </w:tcBorders>
            <w:vAlign w:val="center"/>
          </w:tcPr>
          <w:p w14:paraId="1D1F32D7" w14:textId="77777777" w:rsidR="00B764FC" w:rsidRDefault="00B764FC">
            <w:pPr>
              <w:rPr>
                <w:color w:val="000000"/>
                <w:sz w:val="18"/>
                <w:szCs w:val="18"/>
              </w:rPr>
            </w:pPr>
            <w:r>
              <w:rPr>
                <w:color w:val="000000"/>
                <w:sz w:val="18"/>
                <w:szCs w:val="18"/>
              </w:rPr>
              <w:t>1. State Government has the constitutional responsibility to plan for and provide housing assistance, including social housing</w:t>
            </w:r>
          </w:p>
          <w:p w14:paraId="50EE301B" w14:textId="77777777" w:rsidR="00B764FC" w:rsidRDefault="00B764FC">
            <w:pPr>
              <w:rPr>
                <w:color w:val="000000"/>
                <w:sz w:val="18"/>
                <w:szCs w:val="18"/>
              </w:rPr>
            </w:pPr>
            <w:r>
              <w:rPr>
                <w:color w:val="000000"/>
                <w:sz w:val="18"/>
                <w:szCs w:val="18"/>
              </w:rPr>
              <w:br/>
              <w:t>2. The provision of social housing is considered a core service delivery area for the State Government under the National Housing and Homelessness Agreement NHHA</w:t>
            </w:r>
          </w:p>
          <w:p w14:paraId="5CB85905" w14:textId="77777777" w:rsidR="00B764FC" w:rsidRDefault="00B764FC">
            <w:pPr>
              <w:rPr>
                <w:color w:val="000000"/>
                <w:sz w:val="18"/>
                <w:szCs w:val="18"/>
              </w:rPr>
            </w:pPr>
            <w:r>
              <w:rPr>
                <w:color w:val="000000"/>
                <w:sz w:val="18"/>
                <w:szCs w:val="18"/>
              </w:rPr>
              <w:br/>
              <w:t>3. Victoria’s social housing system is geared towards supporting those who are most disadvantaged and unable to maintain suitable and stable housing within the private market</w:t>
            </w:r>
          </w:p>
        </w:tc>
        <w:tc>
          <w:tcPr>
            <w:tcW w:w="2973" w:type="dxa"/>
            <w:tcBorders>
              <w:left w:val="nil"/>
              <w:right w:val="nil"/>
            </w:tcBorders>
            <w:vAlign w:val="center"/>
          </w:tcPr>
          <w:p w14:paraId="273BED29" w14:textId="77777777" w:rsidR="00B764FC" w:rsidRDefault="00B764FC">
            <w:pPr>
              <w:spacing w:before="240" w:after="240"/>
              <w:rPr>
                <w:color w:val="000000"/>
                <w:sz w:val="18"/>
                <w:szCs w:val="18"/>
              </w:rPr>
            </w:pPr>
            <w:r>
              <w:rPr>
                <w:i/>
                <w:iCs/>
                <w:color w:val="000000"/>
                <w:sz w:val="18"/>
                <w:szCs w:val="18"/>
              </w:rPr>
              <w:t>G21 Addressing Disadvantage through Affordable Social Housing</w:t>
            </w:r>
            <w:r>
              <w:rPr>
                <w:color w:val="000000"/>
                <w:sz w:val="18"/>
                <w:szCs w:val="18"/>
              </w:rPr>
              <w:t xml:space="preserve"> made a number of important recommendations related to social housing, including:</w:t>
            </w:r>
          </w:p>
          <w:p w14:paraId="4105F74A" w14:textId="77777777" w:rsidR="00B764FC" w:rsidRDefault="00B764FC" w:rsidP="00077040">
            <w:pPr>
              <w:pStyle w:val="ListParagraph"/>
              <w:numPr>
                <w:ilvl w:val="0"/>
                <w:numId w:val="9"/>
              </w:numPr>
              <w:spacing w:after="240"/>
              <w:ind w:left="362" w:hanging="362"/>
              <w:rPr>
                <w:color w:val="000000"/>
                <w:sz w:val="18"/>
                <w:szCs w:val="18"/>
              </w:rPr>
            </w:pPr>
            <w:r>
              <w:rPr>
                <w:color w:val="000000"/>
                <w:sz w:val="18"/>
                <w:szCs w:val="18"/>
              </w:rPr>
              <w:t xml:space="preserve">That the role of Local Government is more accurately acknowledged in future planning, and agreements in the provision of social housing    </w:t>
            </w:r>
          </w:p>
          <w:p w14:paraId="1CECB0F8" w14:textId="77777777" w:rsidR="00B764FC" w:rsidRDefault="00B764FC" w:rsidP="00077040">
            <w:pPr>
              <w:pStyle w:val="ListParagraph"/>
              <w:numPr>
                <w:ilvl w:val="0"/>
                <w:numId w:val="9"/>
              </w:numPr>
              <w:spacing w:after="240"/>
              <w:ind w:left="362" w:hanging="362"/>
              <w:rPr>
                <w:color w:val="000000"/>
                <w:sz w:val="18"/>
                <w:szCs w:val="18"/>
              </w:rPr>
            </w:pPr>
            <w:r>
              <w:rPr>
                <w:color w:val="000000"/>
                <w:sz w:val="18"/>
                <w:szCs w:val="18"/>
              </w:rPr>
              <w:t>That all levels of government recognise the importance of access to support services as well as housing in order to maintain tenancies</w:t>
            </w:r>
          </w:p>
          <w:p w14:paraId="3F4DE0D4" w14:textId="77777777" w:rsidR="00B764FC" w:rsidRDefault="00B764FC" w:rsidP="00077040">
            <w:pPr>
              <w:pStyle w:val="ListParagraph"/>
              <w:numPr>
                <w:ilvl w:val="0"/>
                <w:numId w:val="9"/>
              </w:numPr>
              <w:spacing w:after="240"/>
              <w:ind w:left="362" w:hanging="362"/>
              <w:rPr>
                <w:color w:val="000000"/>
                <w:sz w:val="18"/>
                <w:szCs w:val="18"/>
              </w:rPr>
            </w:pPr>
            <w:r>
              <w:rPr>
                <w:color w:val="000000"/>
                <w:sz w:val="18"/>
                <w:szCs w:val="18"/>
              </w:rPr>
              <w:t>That the Victorian State Government be encouraged to develop further projects such as New Norlane</w:t>
            </w:r>
          </w:p>
        </w:tc>
        <w:tc>
          <w:tcPr>
            <w:tcW w:w="3733" w:type="dxa"/>
            <w:tcBorders>
              <w:left w:val="nil"/>
              <w:right w:val="nil"/>
            </w:tcBorders>
            <w:vAlign w:val="center"/>
          </w:tcPr>
          <w:p w14:paraId="29B6EA7A" w14:textId="42D14C60" w:rsidR="00B764FC" w:rsidRDefault="00B764FC">
            <w:pPr>
              <w:rPr>
                <w:color w:val="000000"/>
                <w:sz w:val="18"/>
                <w:szCs w:val="18"/>
              </w:rPr>
            </w:pPr>
            <w:r>
              <w:rPr>
                <w:color w:val="000000"/>
                <w:sz w:val="18"/>
                <w:szCs w:val="18"/>
              </w:rPr>
              <w:t xml:space="preserve">Key ‘Directions’ in the </w:t>
            </w:r>
            <w:r w:rsidR="00F9100A">
              <w:rPr>
                <w:color w:val="000000"/>
                <w:sz w:val="18"/>
                <w:szCs w:val="18"/>
              </w:rPr>
              <w:t xml:space="preserve">City’s </w:t>
            </w:r>
            <w:r>
              <w:rPr>
                <w:i/>
                <w:iCs/>
                <w:color w:val="000000"/>
                <w:sz w:val="18"/>
                <w:szCs w:val="18"/>
              </w:rPr>
              <w:t>Settlement Strategy</w:t>
            </w:r>
            <w:r>
              <w:rPr>
                <w:color w:val="000000"/>
                <w:sz w:val="18"/>
                <w:szCs w:val="18"/>
              </w:rPr>
              <w:t xml:space="preserve"> include:</w:t>
            </w:r>
          </w:p>
          <w:p w14:paraId="694E0C68" w14:textId="77777777" w:rsidR="00B764FC" w:rsidRDefault="00B764FC" w:rsidP="00077040">
            <w:pPr>
              <w:pStyle w:val="ListParagraph"/>
              <w:numPr>
                <w:ilvl w:val="0"/>
                <w:numId w:val="10"/>
              </w:numPr>
              <w:ind w:left="369" w:hanging="284"/>
              <w:rPr>
                <w:color w:val="000000"/>
                <w:sz w:val="18"/>
                <w:szCs w:val="18"/>
              </w:rPr>
            </w:pPr>
            <w:r>
              <w:rPr>
                <w:color w:val="000000"/>
                <w:sz w:val="18"/>
                <w:szCs w:val="18"/>
              </w:rPr>
              <w:t>Support affordable housing in areas suitable for urban consolidation</w:t>
            </w:r>
          </w:p>
          <w:p w14:paraId="723ED38F" w14:textId="77777777" w:rsidR="00B764FC" w:rsidRDefault="00B764FC" w:rsidP="00077040">
            <w:pPr>
              <w:pStyle w:val="ListParagraph"/>
              <w:numPr>
                <w:ilvl w:val="0"/>
                <w:numId w:val="10"/>
              </w:numPr>
              <w:ind w:left="369" w:hanging="284"/>
              <w:rPr>
                <w:color w:val="000000"/>
                <w:sz w:val="18"/>
                <w:szCs w:val="18"/>
              </w:rPr>
            </w:pPr>
            <w:r>
              <w:rPr>
                <w:color w:val="000000"/>
                <w:sz w:val="18"/>
                <w:szCs w:val="18"/>
              </w:rPr>
              <w:t>Investigate model voluntary agreements, inclusionary zoning and development of surplus government sites to deliver social housing</w:t>
            </w:r>
          </w:p>
          <w:p w14:paraId="6F4716B9" w14:textId="77777777" w:rsidR="00B764FC" w:rsidRDefault="00B764FC" w:rsidP="00077040">
            <w:pPr>
              <w:pStyle w:val="ListParagraph"/>
              <w:numPr>
                <w:ilvl w:val="0"/>
                <w:numId w:val="10"/>
              </w:numPr>
              <w:ind w:left="369" w:hanging="284"/>
              <w:rPr>
                <w:color w:val="000000"/>
                <w:sz w:val="18"/>
                <w:szCs w:val="18"/>
              </w:rPr>
            </w:pPr>
            <w:r>
              <w:rPr>
                <w:color w:val="000000"/>
                <w:sz w:val="18"/>
                <w:szCs w:val="18"/>
              </w:rPr>
              <w:t xml:space="preserve">Work with the State Government, community housing and the private sector to deliver more affordable and social housing options     </w:t>
            </w:r>
          </w:p>
          <w:p w14:paraId="153FA820" w14:textId="77777777" w:rsidR="00B764FC" w:rsidRDefault="00B764FC">
            <w:pPr>
              <w:rPr>
                <w:color w:val="000000"/>
                <w:sz w:val="18"/>
                <w:szCs w:val="18"/>
              </w:rPr>
            </w:pPr>
          </w:p>
          <w:p w14:paraId="4621A346" w14:textId="77777777" w:rsidR="00B764FC" w:rsidRDefault="00B764FC">
            <w:pPr>
              <w:rPr>
                <w:color w:val="000000"/>
                <w:sz w:val="18"/>
                <w:szCs w:val="18"/>
              </w:rPr>
            </w:pPr>
            <w:r>
              <w:rPr>
                <w:color w:val="000000"/>
                <w:sz w:val="18"/>
                <w:szCs w:val="18"/>
              </w:rPr>
              <w:t xml:space="preserve">The </w:t>
            </w:r>
            <w:r>
              <w:rPr>
                <w:i/>
                <w:iCs/>
                <w:color w:val="000000"/>
                <w:sz w:val="18"/>
                <w:szCs w:val="18"/>
              </w:rPr>
              <w:t>Housing Diversity Strategy</w:t>
            </w:r>
            <w:r>
              <w:rPr>
                <w:color w:val="000000"/>
                <w:sz w:val="18"/>
                <w:szCs w:val="18"/>
              </w:rPr>
              <w:t xml:space="preserve"> 2007 aims to:</w:t>
            </w:r>
          </w:p>
          <w:p w14:paraId="1381917E" w14:textId="77777777" w:rsidR="00B764FC" w:rsidRDefault="00B764FC">
            <w:pPr>
              <w:rPr>
                <w:color w:val="000000"/>
                <w:sz w:val="18"/>
                <w:szCs w:val="18"/>
              </w:rPr>
            </w:pPr>
            <w:r>
              <w:rPr>
                <w:color w:val="000000"/>
                <w:sz w:val="18"/>
                <w:szCs w:val="18"/>
              </w:rPr>
              <w:br/>
              <w:t xml:space="preserve">1. Provide for the development of a range of housing types and densities in the City of Greater Geelong, to meet the City’s existing and future housing needs </w:t>
            </w:r>
          </w:p>
        </w:tc>
      </w:tr>
      <w:tr w:rsidR="00B764FC" w14:paraId="4CDCC3C7" w14:textId="77777777">
        <w:trPr>
          <w:trHeight w:val="20"/>
        </w:trPr>
        <w:tc>
          <w:tcPr>
            <w:tcW w:w="1161" w:type="dxa"/>
            <w:tcBorders>
              <w:left w:val="nil"/>
              <w:right w:val="nil"/>
            </w:tcBorders>
            <w:shd w:val="clear" w:color="000000" w:fill="808080"/>
            <w:vAlign w:val="center"/>
          </w:tcPr>
          <w:p w14:paraId="50E4FB59" w14:textId="77777777" w:rsidR="00B764FC" w:rsidRDefault="00B764FC">
            <w:pPr>
              <w:jc w:val="center"/>
              <w:rPr>
                <w:b/>
                <w:bCs/>
                <w:color w:val="FFFFFF"/>
                <w:sz w:val="18"/>
                <w:szCs w:val="18"/>
              </w:rPr>
            </w:pPr>
            <w:r>
              <w:rPr>
                <w:b/>
                <w:bCs/>
                <w:color w:val="FFFFFF"/>
                <w:sz w:val="18"/>
                <w:szCs w:val="18"/>
              </w:rPr>
              <w:t>Funding</w:t>
            </w:r>
          </w:p>
        </w:tc>
        <w:tc>
          <w:tcPr>
            <w:tcW w:w="3497" w:type="dxa"/>
            <w:tcBorders>
              <w:left w:val="nil"/>
              <w:right w:val="nil"/>
            </w:tcBorders>
            <w:shd w:val="clear" w:color="auto" w:fill="FFFFFF"/>
            <w:vAlign w:val="center"/>
          </w:tcPr>
          <w:p w14:paraId="7B8B63AA" w14:textId="77777777" w:rsidR="00B764FC" w:rsidRDefault="00B764FC">
            <w:pPr>
              <w:spacing w:after="240"/>
              <w:rPr>
                <w:color w:val="000000"/>
                <w:sz w:val="18"/>
                <w:szCs w:val="18"/>
              </w:rPr>
            </w:pPr>
            <w:r>
              <w:rPr>
                <w:color w:val="000000"/>
                <w:sz w:val="18"/>
                <w:szCs w:val="18"/>
              </w:rPr>
              <w:t xml:space="preserve">Commonwealth Government programs which can directly impact the increased supply of social and affordable housing at the local level include:   </w:t>
            </w:r>
          </w:p>
          <w:p w14:paraId="2D7B64E6" w14:textId="77777777" w:rsidR="00B764FC" w:rsidRDefault="00B764FC" w:rsidP="00077040">
            <w:pPr>
              <w:pStyle w:val="ListParagraph"/>
              <w:numPr>
                <w:ilvl w:val="0"/>
                <w:numId w:val="11"/>
              </w:numPr>
              <w:ind w:left="285" w:hanging="142"/>
              <w:rPr>
                <w:color w:val="000000"/>
                <w:sz w:val="18"/>
                <w:szCs w:val="18"/>
              </w:rPr>
            </w:pPr>
            <w:r>
              <w:rPr>
                <w:color w:val="000000"/>
                <w:sz w:val="18"/>
                <w:szCs w:val="18"/>
              </w:rPr>
              <w:t>National Housing and Homelessness Agreement (NHHA) 2017-18</w:t>
            </w:r>
          </w:p>
          <w:p w14:paraId="71DA9402" w14:textId="77777777" w:rsidR="00B764FC" w:rsidRDefault="00B764FC" w:rsidP="00077040">
            <w:pPr>
              <w:pStyle w:val="ListParagraph"/>
              <w:numPr>
                <w:ilvl w:val="0"/>
                <w:numId w:val="11"/>
              </w:numPr>
              <w:ind w:left="285" w:hanging="142"/>
              <w:rPr>
                <w:color w:val="000000"/>
                <w:sz w:val="18"/>
                <w:szCs w:val="18"/>
              </w:rPr>
            </w:pPr>
            <w:r>
              <w:rPr>
                <w:color w:val="000000"/>
                <w:sz w:val="18"/>
                <w:szCs w:val="18"/>
              </w:rPr>
              <w:t xml:space="preserve">National Housing Finance &amp; Infrastructure Corporation (NHFIC) </w:t>
            </w:r>
          </w:p>
          <w:p w14:paraId="696D035D" w14:textId="77777777" w:rsidR="00B764FC" w:rsidRDefault="00B764FC" w:rsidP="00077040">
            <w:pPr>
              <w:pStyle w:val="ListParagraph"/>
              <w:numPr>
                <w:ilvl w:val="0"/>
                <w:numId w:val="11"/>
              </w:numPr>
              <w:ind w:left="285" w:hanging="142"/>
              <w:rPr>
                <w:color w:val="000000"/>
                <w:sz w:val="18"/>
                <w:szCs w:val="18"/>
              </w:rPr>
            </w:pPr>
            <w:r>
              <w:rPr>
                <w:color w:val="000000"/>
                <w:sz w:val="18"/>
                <w:szCs w:val="18"/>
              </w:rPr>
              <w:t xml:space="preserve">Affordable Housing Bond Aggregator (AHBA) </w:t>
            </w:r>
          </w:p>
          <w:p w14:paraId="162703B2" w14:textId="77777777" w:rsidR="00B764FC" w:rsidRDefault="00B764FC" w:rsidP="00077040">
            <w:pPr>
              <w:pStyle w:val="ListParagraph"/>
              <w:numPr>
                <w:ilvl w:val="0"/>
                <w:numId w:val="11"/>
              </w:numPr>
              <w:ind w:left="285" w:hanging="142"/>
              <w:rPr>
                <w:color w:val="000000"/>
                <w:sz w:val="18"/>
                <w:szCs w:val="18"/>
              </w:rPr>
            </w:pPr>
            <w:r>
              <w:rPr>
                <w:color w:val="000000"/>
                <w:sz w:val="18"/>
                <w:szCs w:val="18"/>
              </w:rPr>
              <w:lastRenderedPageBreak/>
              <w:t xml:space="preserve">National Rental Affordability Scheme (NRAS) </w:t>
            </w:r>
          </w:p>
          <w:p w14:paraId="71C56F45" w14:textId="77777777" w:rsidR="00B764FC" w:rsidRDefault="00B764FC" w:rsidP="00077040">
            <w:pPr>
              <w:pStyle w:val="ListParagraph"/>
              <w:numPr>
                <w:ilvl w:val="0"/>
                <w:numId w:val="11"/>
              </w:numPr>
              <w:ind w:left="285" w:hanging="142"/>
              <w:rPr>
                <w:color w:val="000000"/>
                <w:sz w:val="18"/>
                <w:szCs w:val="18"/>
              </w:rPr>
            </w:pPr>
            <w:r>
              <w:rPr>
                <w:color w:val="000000"/>
                <w:sz w:val="18"/>
                <w:szCs w:val="18"/>
              </w:rPr>
              <w:t xml:space="preserve">Commonwealth Rent Assistance (CRA) </w:t>
            </w:r>
          </w:p>
        </w:tc>
        <w:tc>
          <w:tcPr>
            <w:tcW w:w="3094" w:type="dxa"/>
            <w:tcBorders>
              <w:left w:val="nil"/>
              <w:right w:val="nil"/>
            </w:tcBorders>
            <w:shd w:val="clear" w:color="auto" w:fill="FFFFFF"/>
            <w:vAlign w:val="center"/>
          </w:tcPr>
          <w:p w14:paraId="3E4A9F54" w14:textId="77777777" w:rsidR="00B764FC" w:rsidRDefault="00B764FC">
            <w:pPr>
              <w:spacing w:before="240" w:after="240"/>
              <w:rPr>
                <w:color w:val="000000"/>
                <w:sz w:val="18"/>
                <w:szCs w:val="18"/>
              </w:rPr>
            </w:pPr>
            <w:r>
              <w:rPr>
                <w:b/>
                <w:bCs/>
                <w:color w:val="000000"/>
                <w:sz w:val="18"/>
                <w:szCs w:val="18"/>
              </w:rPr>
              <w:lastRenderedPageBreak/>
              <w:t xml:space="preserve">1. Homes for Victorians </w:t>
            </w:r>
            <w:r>
              <w:rPr>
                <w:color w:val="000000"/>
                <w:sz w:val="18"/>
                <w:szCs w:val="18"/>
              </w:rPr>
              <w:t xml:space="preserve"> - $2.1 billion of the $2.7 billion committed to financial instruments to grow community housing in partnership with other stakeholders through the Social Housing Growth Fund, monies are provided as operating subsidy for up to 30 years to support the servicing of private debt raised by Registered Housing Agencies </w:t>
            </w:r>
          </w:p>
          <w:p w14:paraId="4FCF3DB2" w14:textId="77777777" w:rsidR="00B764FC" w:rsidRDefault="00B764FC">
            <w:pPr>
              <w:rPr>
                <w:color w:val="000000"/>
                <w:sz w:val="18"/>
                <w:szCs w:val="18"/>
              </w:rPr>
            </w:pPr>
            <w:r>
              <w:rPr>
                <w:b/>
                <w:bCs/>
                <w:color w:val="000000"/>
                <w:sz w:val="18"/>
                <w:szCs w:val="18"/>
              </w:rPr>
              <w:lastRenderedPageBreak/>
              <w:t>2. Loan Guarantees</w:t>
            </w:r>
            <w:r>
              <w:rPr>
                <w:color w:val="000000"/>
                <w:sz w:val="18"/>
                <w:szCs w:val="18"/>
              </w:rPr>
              <w:t xml:space="preserve"> Victorian Government has committed to providing up to $550M in loan guarantees to debt provided by the banking sector to Registered Housing Associations           </w:t>
            </w:r>
          </w:p>
          <w:p w14:paraId="5C7EA9E2" w14:textId="77777777" w:rsidR="00B764FC" w:rsidRDefault="00B764FC">
            <w:pPr>
              <w:rPr>
                <w:color w:val="000000"/>
                <w:sz w:val="18"/>
                <w:szCs w:val="18"/>
              </w:rPr>
            </w:pPr>
            <w:r>
              <w:rPr>
                <w:color w:val="000000"/>
                <w:sz w:val="18"/>
                <w:szCs w:val="18"/>
              </w:rPr>
              <w:t xml:space="preserve">3. </w:t>
            </w:r>
            <w:r>
              <w:rPr>
                <w:b/>
                <w:bCs/>
                <w:color w:val="000000"/>
                <w:sz w:val="18"/>
                <w:szCs w:val="18"/>
              </w:rPr>
              <w:t xml:space="preserve">Homes for Victorians commits $341M to renew and expand public housing </w:t>
            </w:r>
            <w:r>
              <w:rPr>
                <w:color w:val="000000"/>
                <w:sz w:val="18"/>
                <w:szCs w:val="18"/>
              </w:rPr>
              <w:t xml:space="preserve">with a target of approximately 3,500 new dwellings to replace about 2,500 existing dwellings. </w:t>
            </w:r>
          </w:p>
        </w:tc>
        <w:tc>
          <w:tcPr>
            <w:tcW w:w="2973" w:type="dxa"/>
            <w:tcBorders>
              <w:left w:val="nil"/>
              <w:right w:val="nil"/>
            </w:tcBorders>
            <w:shd w:val="clear" w:color="auto" w:fill="FFFFFF"/>
            <w:vAlign w:val="center"/>
          </w:tcPr>
          <w:p w14:paraId="0248233D" w14:textId="77777777" w:rsidR="00B764FC" w:rsidRDefault="00B764FC">
            <w:pPr>
              <w:rPr>
                <w:color w:val="000000"/>
                <w:sz w:val="18"/>
                <w:szCs w:val="18"/>
              </w:rPr>
            </w:pPr>
            <w:r>
              <w:rPr>
                <w:i/>
                <w:iCs/>
                <w:color w:val="000000"/>
                <w:sz w:val="18"/>
                <w:szCs w:val="18"/>
              </w:rPr>
              <w:lastRenderedPageBreak/>
              <w:t>G21 Addressing Disadvantage through Affordable Social Housing</w:t>
            </w:r>
            <w:r>
              <w:rPr>
                <w:color w:val="000000"/>
                <w:sz w:val="18"/>
                <w:szCs w:val="18"/>
              </w:rPr>
              <w:t xml:space="preserve"> recommended: </w:t>
            </w:r>
          </w:p>
          <w:p w14:paraId="247C905C" w14:textId="77777777" w:rsidR="00B764FC" w:rsidRDefault="00B764FC">
            <w:pPr>
              <w:rPr>
                <w:color w:val="000000"/>
                <w:sz w:val="18"/>
                <w:szCs w:val="18"/>
              </w:rPr>
            </w:pPr>
          </w:p>
          <w:p w14:paraId="59BAF1EA" w14:textId="77777777" w:rsidR="00B764FC" w:rsidRDefault="00B764FC">
            <w:pPr>
              <w:rPr>
                <w:color w:val="000000"/>
                <w:sz w:val="18"/>
                <w:szCs w:val="18"/>
              </w:rPr>
            </w:pPr>
            <w:r>
              <w:rPr>
                <w:color w:val="000000"/>
                <w:sz w:val="18"/>
                <w:szCs w:val="18"/>
              </w:rPr>
              <w:t xml:space="preserve">Identifying, developing and funding a reliable ‘pipeline of co-investment funding’ to enable new social housing projects be considered an urgent priority </w:t>
            </w:r>
          </w:p>
        </w:tc>
        <w:tc>
          <w:tcPr>
            <w:tcW w:w="3733" w:type="dxa"/>
            <w:tcBorders>
              <w:left w:val="nil"/>
              <w:right w:val="nil"/>
            </w:tcBorders>
            <w:shd w:val="clear" w:color="auto" w:fill="FFFFFF"/>
            <w:vAlign w:val="center"/>
          </w:tcPr>
          <w:p w14:paraId="73DF7C57" w14:textId="77777777" w:rsidR="00B764FC" w:rsidRDefault="00B764FC">
            <w:pPr>
              <w:rPr>
                <w:color w:val="000000"/>
                <w:sz w:val="18"/>
                <w:szCs w:val="18"/>
              </w:rPr>
            </w:pPr>
            <w:r>
              <w:rPr>
                <w:color w:val="000000"/>
                <w:sz w:val="18"/>
                <w:szCs w:val="18"/>
              </w:rPr>
              <w:t xml:space="preserve">The City of Greater Geelong will need to be proactive in negotiating partnerships with both the Commonwealth and State Governments that commit to a long-term strategic growth and revitalisation of social housing. </w:t>
            </w:r>
          </w:p>
          <w:p w14:paraId="5FB209BE" w14:textId="77777777" w:rsidR="00B764FC" w:rsidRDefault="00B764FC">
            <w:pPr>
              <w:rPr>
                <w:color w:val="000000"/>
                <w:sz w:val="18"/>
                <w:szCs w:val="18"/>
              </w:rPr>
            </w:pPr>
          </w:p>
          <w:p w14:paraId="4C2CACD8" w14:textId="77777777" w:rsidR="00B764FC" w:rsidRDefault="00B764FC">
            <w:pPr>
              <w:rPr>
                <w:color w:val="000000"/>
                <w:sz w:val="18"/>
                <w:szCs w:val="18"/>
              </w:rPr>
            </w:pPr>
          </w:p>
          <w:p w14:paraId="68EFA6BE" w14:textId="77777777" w:rsidR="00B764FC" w:rsidRDefault="00B764FC">
            <w:pPr>
              <w:rPr>
                <w:color w:val="000000"/>
                <w:sz w:val="18"/>
                <w:szCs w:val="18"/>
              </w:rPr>
            </w:pPr>
            <w:r>
              <w:rPr>
                <w:color w:val="000000"/>
                <w:sz w:val="18"/>
                <w:szCs w:val="18"/>
              </w:rPr>
              <w:t>These partnerships should address State and Commonwealth land holdings, funding programs and subsidy programs.</w:t>
            </w:r>
          </w:p>
        </w:tc>
      </w:tr>
      <w:tr w:rsidR="00B764FC" w14:paraId="026C73F9" w14:textId="77777777">
        <w:trPr>
          <w:trHeight w:val="20"/>
        </w:trPr>
        <w:tc>
          <w:tcPr>
            <w:tcW w:w="1161" w:type="dxa"/>
            <w:tcBorders>
              <w:left w:val="nil"/>
              <w:right w:val="nil"/>
            </w:tcBorders>
            <w:shd w:val="clear" w:color="000000" w:fill="808080"/>
            <w:vAlign w:val="center"/>
          </w:tcPr>
          <w:p w14:paraId="4C4F93B1" w14:textId="77777777" w:rsidR="00B764FC" w:rsidRDefault="00B764FC">
            <w:pPr>
              <w:jc w:val="center"/>
              <w:rPr>
                <w:b/>
                <w:bCs/>
                <w:color w:val="FFFFFF"/>
                <w:sz w:val="18"/>
                <w:szCs w:val="18"/>
              </w:rPr>
            </w:pPr>
            <w:r>
              <w:rPr>
                <w:b/>
                <w:bCs/>
                <w:color w:val="FFFFFF"/>
                <w:sz w:val="18"/>
                <w:szCs w:val="18"/>
              </w:rPr>
              <w:t>Partnerships</w:t>
            </w:r>
          </w:p>
        </w:tc>
        <w:tc>
          <w:tcPr>
            <w:tcW w:w="3497" w:type="dxa"/>
            <w:tcBorders>
              <w:left w:val="nil"/>
              <w:right w:val="nil"/>
            </w:tcBorders>
            <w:vAlign w:val="center"/>
          </w:tcPr>
          <w:p w14:paraId="23E1C472" w14:textId="77777777" w:rsidR="00B764FC" w:rsidRDefault="00B764FC">
            <w:pPr>
              <w:spacing w:before="240"/>
              <w:rPr>
                <w:color w:val="000000"/>
                <w:sz w:val="18"/>
                <w:szCs w:val="18"/>
              </w:rPr>
            </w:pPr>
            <w:r>
              <w:rPr>
                <w:color w:val="000000"/>
                <w:sz w:val="18"/>
                <w:szCs w:val="18"/>
              </w:rPr>
              <w:t>A National Regulatory System for Community Housing recognises the following two types of R</w:t>
            </w:r>
            <w:r>
              <w:rPr>
                <w:b/>
                <w:bCs/>
                <w:color w:val="000000"/>
                <w:sz w:val="18"/>
                <w:szCs w:val="18"/>
              </w:rPr>
              <w:t xml:space="preserve">egistered Housing Agencies </w:t>
            </w:r>
            <w:r>
              <w:rPr>
                <w:color w:val="000000"/>
                <w:sz w:val="18"/>
                <w:szCs w:val="18"/>
              </w:rPr>
              <w:t>in Victoria:</w:t>
            </w:r>
          </w:p>
          <w:p w14:paraId="273A0668" w14:textId="77777777" w:rsidR="00B764FC" w:rsidRDefault="00B764FC">
            <w:pPr>
              <w:spacing w:before="240" w:after="240"/>
              <w:rPr>
                <w:color w:val="000000"/>
                <w:sz w:val="18"/>
                <w:szCs w:val="18"/>
              </w:rPr>
            </w:pPr>
            <w:r>
              <w:rPr>
                <w:color w:val="000000"/>
                <w:sz w:val="18"/>
                <w:szCs w:val="18"/>
              </w:rPr>
              <w:br/>
            </w:r>
            <w:r>
              <w:rPr>
                <w:b/>
                <w:bCs/>
                <w:color w:val="000000"/>
                <w:sz w:val="18"/>
                <w:szCs w:val="18"/>
              </w:rPr>
              <w:t xml:space="preserve">1. Housing Associations </w:t>
            </w:r>
            <w:r>
              <w:rPr>
                <w:color w:val="000000"/>
                <w:sz w:val="18"/>
                <w:szCs w:val="18"/>
              </w:rPr>
              <w:t>larger, more complex businesses that manage, maintain and grow a viable social housing portfolio</w:t>
            </w:r>
          </w:p>
          <w:p w14:paraId="78149813" w14:textId="77777777" w:rsidR="00B764FC" w:rsidRDefault="00B764FC">
            <w:pPr>
              <w:spacing w:before="240" w:after="240"/>
              <w:rPr>
                <w:color w:val="000000"/>
                <w:sz w:val="18"/>
                <w:szCs w:val="18"/>
              </w:rPr>
            </w:pPr>
            <w:r>
              <w:rPr>
                <w:b/>
                <w:bCs/>
                <w:color w:val="000000"/>
                <w:sz w:val="18"/>
                <w:szCs w:val="18"/>
              </w:rPr>
              <w:t>2. Housing Provider</w:t>
            </w:r>
            <w:r>
              <w:rPr>
                <w:color w:val="000000"/>
                <w:sz w:val="18"/>
                <w:szCs w:val="18"/>
              </w:rPr>
              <w:t>s primarily manage rental housing portfolios for other parties, such as the Director of Housing (DoH); often specialise in particular client groups which may include disability housing, aged, youth; growth is small scale compared with housing associations</w:t>
            </w:r>
            <w:r>
              <w:rPr>
                <w:color w:val="000000"/>
                <w:sz w:val="18"/>
                <w:szCs w:val="18"/>
              </w:rPr>
              <w:br/>
              <w:t xml:space="preserve">                                                                                                                            </w:t>
            </w:r>
          </w:p>
        </w:tc>
        <w:tc>
          <w:tcPr>
            <w:tcW w:w="3094" w:type="dxa"/>
            <w:tcBorders>
              <w:left w:val="nil"/>
              <w:right w:val="nil"/>
            </w:tcBorders>
            <w:vAlign w:val="center"/>
          </w:tcPr>
          <w:p w14:paraId="491AF801" w14:textId="77777777" w:rsidR="00B764FC" w:rsidRDefault="00B764FC">
            <w:pPr>
              <w:rPr>
                <w:color w:val="000000"/>
                <w:sz w:val="18"/>
                <w:szCs w:val="18"/>
              </w:rPr>
            </w:pPr>
            <w:r>
              <w:rPr>
                <w:color w:val="000000"/>
                <w:sz w:val="18"/>
                <w:szCs w:val="18"/>
              </w:rPr>
              <w:t>The following State Government Strategies and Plans respond to the requirements of the National Housing and Homelessness Agreement</w:t>
            </w:r>
          </w:p>
          <w:p w14:paraId="2AA915CE" w14:textId="77777777" w:rsidR="00B764FC" w:rsidRDefault="00B764FC">
            <w:pPr>
              <w:rPr>
                <w:color w:val="000000"/>
                <w:sz w:val="18"/>
                <w:szCs w:val="18"/>
              </w:rPr>
            </w:pPr>
          </w:p>
          <w:p w14:paraId="33B658B4" w14:textId="77777777" w:rsidR="00B764FC" w:rsidRDefault="00B764FC" w:rsidP="00077040">
            <w:pPr>
              <w:pStyle w:val="ListParagraph"/>
              <w:numPr>
                <w:ilvl w:val="0"/>
                <w:numId w:val="12"/>
              </w:numPr>
              <w:rPr>
                <w:color w:val="000000"/>
                <w:sz w:val="18"/>
                <w:szCs w:val="18"/>
              </w:rPr>
            </w:pPr>
            <w:r>
              <w:rPr>
                <w:color w:val="000000"/>
                <w:sz w:val="18"/>
                <w:szCs w:val="18"/>
              </w:rPr>
              <w:t>Homes for Victorians</w:t>
            </w:r>
          </w:p>
          <w:p w14:paraId="7575B533" w14:textId="77777777" w:rsidR="00B764FC" w:rsidRDefault="00B764FC" w:rsidP="00077040">
            <w:pPr>
              <w:pStyle w:val="ListParagraph"/>
              <w:numPr>
                <w:ilvl w:val="0"/>
                <w:numId w:val="12"/>
              </w:numPr>
              <w:rPr>
                <w:color w:val="000000"/>
                <w:sz w:val="18"/>
                <w:szCs w:val="18"/>
              </w:rPr>
            </w:pPr>
            <w:r>
              <w:rPr>
                <w:color w:val="000000"/>
                <w:sz w:val="18"/>
                <w:szCs w:val="18"/>
              </w:rPr>
              <w:t>Plan Melbourne 2017-2050</w:t>
            </w:r>
          </w:p>
          <w:p w14:paraId="3FB54E21" w14:textId="77777777" w:rsidR="00B764FC" w:rsidRDefault="00B764FC" w:rsidP="00077040">
            <w:pPr>
              <w:pStyle w:val="ListParagraph"/>
              <w:numPr>
                <w:ilvl w:val="0"/>
                <w:numId w:val="12"/>
              </w:numPr>
              <w:rPr>
                <w:color w:val="000000"/>
                <w:sz w:val="18"/>
                <w:szCs w:val="18"/>
              </w:rPr>
            </w:pPr>
            <w:r>
              <w:rPr>
                <w:color w:val="000000"/>
                <w:sz w:val="18"/>
                <w:szCs w:val="18"/>
              </w:rPr>
              <w:t>Victorian Infrastructure Plan</w:t>
            </w:r>
          </w:p>
          <w:p w14:paraId="29831158" w14:textId="77777777" w:rsidR="00B764FC" w:rsidRDefault="00B764FC" w:rsidP="00077040">
            <w:pPr>
              <w:pStyle w:val="ListParagraph"/>
              <w:numPr>
                <w:ilvl w:val="0"/>
                <w:numId w:val="12"/>
              </w:numPr>
              <w:rPr>
                <w:color w:val="000000"/>
                <w:sz w:val="18"/>
                <w:szCs w:val="18"/>
              </w:rPr>
            </w:pPr>
            <w:r>
              <w:rPr>
                <w:color w:val="000000"/>
                <w:sz w:val="18"/>
                <w:szCs w:val="18"/>
              </w:rPr>
              <w:t xml:space="preserve">Ending Family Violence: Victoria’s Plan for Change </w:t>
            </w:r>
          </w:p>
        </w:tc>
        <w:tc>
          <w:tcPr>
            <w:tcW w:w="2973" w:type="dxa"/>
            <w:tcBorders>
              <w:left w:val="nil"/>
              <w:right w:val="nil"/>
            </w:tcBorders>
            <w:vAlign w:val="center"/>
          </w:tcPr>
          <w:p w14:paraId="243D3024" w14:textId="77777777" w:rsidR="00B764FC" w:rsidRDefault="00B764FC" w:rsidP="00077040">
            <w:pPr>
              <w:pStyle w:val="ListParagraph"/>
              <w:numPr>
                <w:ilvl w:val="0"/>
                <w:numId w:val="13"/>
              </w:numPr>
              <w:rPr>
                <w:color w:val="000000"/>
                <w:sz w:val="18"/>
                <w:szCs w:val="18"/>
              </w:rPr>
            </w:pPr>
            <w:r>
              <w:rPr>
                <w:color w:val="000000"/>
                <w:sz w:val="18"/>
                <w:szCs w:val="18"/>
              </w:rPr>
              <w:t xml:space="preserve">One of the aims of the G21 Affordable Housing Taskforce was to: </w:t>
            </w:r>
          </w:p>
          <w:p w14:paraId="5A6CA061" w14:textId="77777777" w:rsidR="00B764FC" w:rsidRDefault="00B764FC">
            <w:pPr>
              <w:pStyle w:val="ListParagraph"/>
              <w:rPr>
                <w:color w:val="000000"/>
                <w:sz w:val="18"/>
                <w:szCs w:val="18"/>
              </w:rPr>
            </w:pPr>
            <w:r>
              <w:rPr>
                <w:color w:val="000000"/>
                <w:sz w:val="18"/>
                <w:szCs w:val="18"/>
              </w:rPr>
              <w:t>investigate the establishment of a Housing Association</w:t>
            </w:r>
          </w:p>
          <w:p w14:paraId="14519823" w14:textId="77777777" w:rsidR="00B764FC" w:rsidRDefault="00B764FC">
            <w:pPr>
              <w:pStyle w:val="ListParagraph"/>
              <w:rPr>
                <w:color w:val="000000"/>
                <w:sz w:val="18"/>
                <w:szCs w:val="18"/>
              </w:rPr>
            </w:pPr>
          </w:p>
          <w:p w14:paraId="19462399" w14:textId="77777777" w:rsidR="00B764FC" w:rsidRDefault="00B764FC">
            <w:pPr>
              <w:pStyle w:val="ListParagraph"/>
              <w:ind w:hanging="358"/>
              <w:rPr>
                <w:color w:val="000000"/>
                <w:sz w:val="18"/>
                <w:szCs w:val="18"/>
              </w:rPr>
            </w:pPr>
            <w:r>
              <w:rPr>
                <w:color w:val="000000"/>
                <w:sz w:val="18"/>
                <w:szCs w:val="18"/>
              </w:rPr>
              <w:t xml:space="preserve">2.     The 2007 G21 initiative to appoint a preferred provider for the G21 Region did </w:t>
            </w:r>
            <w:r>
              <w:rPr>
                <w:i/>
                <w:iCs/>
                <w:color w:val="000000"/>
                <w:sz w:val="18"/>
                <w:szCs w:val="18"/>
              </w:rPr>
              <w:t>not</w:t>
            </w:r>
            <w:r>
              <w:rPr>
                <w:color w:val="000000"/>
                <w:sz w:val="18"/>
                <w:szCs w:val="18"/>
              </w:rPr>
              <w:t xml:space="preserve"> result in any increase in investment in social housing</w:t>
            </w:r>
          </w:p>
        </w:tc>
        <w:tc>
          <w:tcPr>
            <w:tcW w:w="3733" w:type="dxa"/>
            <w:tcBorders>
              <w:left w:val="nil"/>
              <w:right w:val="nil"/>
            </w:tcBorders>
            <w:vAlign w:val="center"/>
          </w:tcPr>
          <w:p w14:paraId="32D076DB" w14:textId="726BD51D" w:rsidR="00B764FC" w:rsidRDefault="00F9100A">
            <w:pPr>
              <w:rPr>
                <w:color w:val="000000"/>
                <w:sz w:val="18"/>
                <w:szCs w:val="18"/>
              </w:rPr>
            </w:pPr>
            <w:r>
              <w:rPr>
                <w:color w:val="000000"/>
                <w:sz w:val="18"/>
                <w:szCs w:val="18"/>
              </w:rPr>
              <w:t xml:space="preserve">The City’s </w:t>
            </w:r>
            <w:r w:rsidR="00B764FC">
              <w:rPr>
                <w:color w:val="000000"/>
                <w:sz w:val="18"/>
                <w:szCs w:val="18"/>
              </w:rPr>
              <w:t>approach must be built around partnership with both the Commonwealth and State Government and collaboration with the private and not-for-profit sectors to get the best outcome for those most disadvantaged and at risk in the Geelong housing market</w:t>
            </w:r>
          </w:p>
        </w:tc>
      </w:tr>
      <w:tr w:rsidR="00B764FC" w14:paraId="1F2B07B7" w14:textId="77777777">
        <w:trPr>
          <w:trHeight w:val="20"/>
        </w:trPr>
        <w:tc>
          <w:tcPr>
            <w:tcW w:w="1161" w:type="dxa"/>
            <w:tcBorders>
              <w:left w:val="nil"/>
              <w:right w:val="nil"/>
            </w:tcBorders>
            <w:shd w:val="clear" w:color="000000" w:fill="808080"/>
            <w:vAlign w:val="center"/>
          </w:tcPr>
          <w:p w14:paraId="15A9C4B7" w14:textId="77777777" w:rsidR="00B764FC" w:rsidRDefault="00B764FC">
            <w:pPr>
              <w:jc w:val="center"/>
              <w:rPr>
                <w:b/>
                <w:bCs/>
                <w:color w:val="FFFFFF"/>
                <w:sz w:val="18"/>
                <w:szCs w:val="18"/>
              </w:rPr>
            </w:pPr>
            <w:r>
              <w:rPr>
                <w:b/>
                <w:bCs/>
                <w:color w:val="FFFFFF"/>
                <w:sz w:val="18"/>
                <w:szCs w:val="18"/>
              </w:rPr>
              <w:t>Planning</w:t>
            </w:r>
          </w:p>
        </w:tc>
        <w:tc>
          <w:tcPr>
            <w:tcW w:w="3497" w:type="dxa"/>
            <w:tcBorders>
              <w:left w:val="nil"/>
              <w:right w:val="nil"/>
            </w:tcBorders>
            <w:shd w:val="clear" w:color="auto" w:fill="FFFFFF"/>
            <w:vAlign w:val="center"/>
          </w:tcPr>
          <w:p w14:paraId="2CEC6F3C" w14:textId="77777777" w:rsidR="00B764FC" w:rsidRDefault="00B764FC">
            <w:pPr>
              <w:rPr>
                <w:color w:val="000000"/>
                <w:sz w:val="18"/>
                <w:szCs w:val="18"/>
              </w:rPr>
            </w:pPr>
            <w:r>
              <w:rPr>
                <w:color w:val="000000"/>
                <w:sz w:val="18"/>
                <w:szCs w:val="18"/>
              </w:rPr>
              <w:t>State and Local Government responsibility</w:t>
            </w:r>
          </w:p>
        </w:tc>
        <w:tc>
          <w:tcPr>
            <w:tcW w:w="3094" w:type="dxa"/>
            <w:tcBorders>
              <w:left w:val="nil"/>
              <w:right w:val="nil"/>
            </w:tcBorders>
            <w:shd w:val="clear" w:color="auto" w:fill="FFFFFF"/>
            <w:vAlign w:val="center"/>
          </w:tcPr>
          <w:p w14:paraId="0574179C" w14:textId="77777777" w:rsidR="00B764FC" w:rsidRDefault="00B764FC">
            <w:pPr>
              <w:rPr>
                <w:color w:val="000000"/>
                <w:sz w:val="18"/>
                <w:szCs w:val="18"/>
              </w:rPr>
            </w:pPr>
            <w:r>
              <w:rPr>
                <w:color w:val="000000"/>
                <w:sz w:val="18"/>
                <w:szCs w:val="18"/>
              </w:rPr>
              <w:t xml:space="preserve">1. Homes for Victorians commits to </w:t>
            </w:r>
            <w:r>
              <w:rPr>
                <w:b/>
                <w:bCs/>
                <w:color w:val="000000"/>
                <w:sz w:val="18"/>
                <w:szCs w:val="18"/>
              </w:rPr>
              <w:t>amend planning approvals process</w:t>
            </w:r>
            <w:r>
              <w:rPr>
                <w:color w:val="000000"/>
                <w:sz w:val="18"/>
                <w:szCs w:val="18"/>
              </w:rPr>
              <w:t xml:space="preserve"> to allow local government authorities to negotiate affordable housing outcomes as part of a rezoning of land or permit applications for major developments         </w:t>
            </w:r>
          </w:p>
          <w:p w14:paraId="51BA61BC" w14:textId="77777777" w:rsidR="00B764FC" w:rsidRDefault="00B764FC">
            <w:pPr>
              <w:rPr>
                <w:color w:val="000000"/>
                <w:sz w:val="18"/>
                <w:szCs w:val="18"/>
              </w:rPr>
            </w:pPr>
          </w:p>
          <w:p w14:paraId="76444D9F" w14:textId="77777777" w:rsidR="00B764FC" w:rsidRDefault="00B764FC">
            <w:pPr>
              <w:rPr>
                <w:color w:val="000000"/>
                <w:sz w:val="18"/>
                <w:szCs w:val="18"/>
              </w:rPr>
            </w:pPr>
            <w:r>
              <w:rPr>
                <w:color w:val="000000"/>
                <w:sz w:val="18"/>
                <w:szCs w:val="18"/>
              </w:rPr>
              <w:t xml:space="preserve">2. Homes for Victorians commits to the </w:t>
            </w:r>
            <w:r>
              <w:rPr>
                <w:b/>
                <w:bCs/>
                <w:color w:val="000000"/>
                <w:sz w:val="18"/>
                <w:szCs w:val="18"/>
              </w:rPr>
              <w:t>identification of underutilised and surplus government owned land</w:t>
            </w:r>
            <w:r>
              <w:rPr>
                <w:color w:val="000000"/>
                <w:sz w:val="18"/>
                <w:szCs w:val="18"/>
              </w:rPr>
              <w:t xml:space="preserve"> which can then be fast tracked through the governmental processes for the disposal of land and release them into the market with a requirement that they include a component of social and affordable housing</w:t>
            </w:r>
          </w:p>
        </w:tc>
        <w:tc>
          <w:tcPr>
            <w:tcW w:w="2973" w:type="dxa"/>
            <w:tcBorders>
              <w:left w:val="nil"/>
              <w:right w:val="nil"/>
            </w:tcBorders>
            <w:shd w:val="clear" w:color="auto" w:fill="FFFFFF"/>
            <w:vAlign w:val="center"/>
          </w:tcPr>
          <w:p w14:paraId="3562D548" w14:textId="5B688FD7" w:rsidR="00B764FC" w:rsidRDefault="00B764FC">
            <w:pPr>
              <w:rPr>
                <w:color w:val="000000"/>
                <w:sz w:val="18"/>
                <w:szCs w:val="18"/>
              </w:rPr>
            </w:pPr>
            <w:r>
              <w:rPr>
                <w:color w:val="000000"/>
                <w:sz w:val="18"/>
                <w:szCs w:val="18"/>
              </w:rPr>
              <w:lastRenderedPageBreak/>
              <w:t xml:space="preserve">1. </w:t>
            </w:r>
            <w:r>
              <w:rPr>
                <w:i/>
                <w:iCs/>
                <w:color w:val="000000"/>
                <w:sz w:val="18"/>
                <w:szCs w:val="18"/>
              </w:rPr>
              <w:t>G21 Regional Growth Plan  Background Report</w:t>
            </w:r>
            <w:r>
              <w:rPr>
                <w:color w:val="000000"/>
                <w:sz w:val="18"/>
                <w:szCs w:val="18"/>
              </w:rPr>
              <w:t xml:space="preserve"> (2012) affirms the </w:t>
            </w:r>
            <w:r w:rsidR="00CB1D66">
              <w:rPr>
                <w:color w:val="000000"/>
                <w:sz w:val="18"/>
                <w:szCs w:val="18"/>
              </w:rPr>
              <w:t>City of Greater Geelong</w:t>
            </w:r>
            <w:r>
              <w:rPr>
                <w:color w:val="000000"/>
                <w:sz w:val="18"/>
                <w:szCs w:val="18"/>
              </w:rPr>
              <w:t xml:space="preserve"> </w:t>
            </w:r>
            <w:r>
              <w:rPr>
                <w:i/>
                <w:iCs/>
                <w:color w:val="000000"/>
                <w:sz w:val="18"/>
                <w:szCs w:val="18"/>
              </w:rPr>
              <w:t>Housing Diversity Strategy</w:t>
            </w:r>
            <w:r>
              <w:rPr>
                <w:color w:val="000000"/>
                <w:sz w:val="18"/>
                <w:szCs w:val="18"/>
              </w:rPr>
              <w:t xml:space="preserve"> goal to include higher density development in:</w:t>
            </w:r>
            <w:r>
              <w:rPr>
                <w:color w:val="000000"/>
                <w:sz w:val="18"/>
                <w:szCs w:val="18"/>
              </w:rPr>
              <w:br/>
            </w:r>
            <w:r>
              <w:rPr>
                <w:color w:val="000000"/>
                <w:sz w:val="18"/>
                <w:szCs w:val="18"/>
              </w:rPr>
              <w:br/>
              <w:t xml:space="preserve">i. Key Development Areas (Central </w:t>
            </w:r>
            <w:r>
              <w:rPr>
                <w:color w:val="000000"/>
                <w:sz w:val="18"/>
                <w:szCs w:val="18"/>
              </w:rPr>
              <w:lastRenderedPageBreak/>
              <w:t xml:space="preserve">Geelong, West Fyans – Fyans Street Precinct, and a Waurn Pond site) </w:t>
            </w:r>
          </w:p>
          <w:p w14:paraId="2B9D0333" w14:textId="77777777" w:rsidR="00B764FC" w:rsidRDefault="00B764FC">
            <w:pPr>
              <w:rPr>
                <w:color w:val="000000"/>
                <w:sz w:val="18"/>
                <w:szCs w:val="18"/>
              </w:rPr>
            </w:pPr>
            <w:r>
              <w:rPr>
                <w:color w:val="000000"/>
                <w:sz w:val="18"/>
                <w:szCs w:val="18"/>
              </w:rPr>
              <w:br/>
              <w:t>ii. Increased Housing Diversity Areas including within about 400 m of railway stations and activity/ neighbourhood centres</w:t>
            </w:r>
          </w:p>
          <w:p w14:paraId="41907F6A" w14:textId="77777777" w:rsidR="00B764FC" w:rsidRDefault="00B764FC">
            <w:pPr>
              <w:rPr>
                <w:color w:val="000000"/>
                <w:sz w:val="18"/>
                <w:szCs w:val="18"/>
              </w:rPr>
            </w:pPr>
            <w:r>
              <w:rPr>
                <w:color w:val="000000"/>
                <w:sz w:val="18"/>
                <w:szCs w:val="18"/>
              </w:rPr>
              <w:br/>
              <w:t>iii. Incremental Change Areas (where the majority of new development will be consistent with traditional suburban character</w:t>
            </w:r>
          </w:p>
        </w:tc>
        <w:tc>
          <w:tcPr>
            <w:tcW w:w="3733" w:type="dxa"/>
            <w:tcBorders>
              <w:left w:val="nil"/>
              <w:right w:val="nil"/>
            </w:tcBorders>
            <w:shd w:val="clear" w:color="auto" w:fill="FFFFFF"/>
            <w:vAlign w:val="center"/>
          </w:tcPr>
          <w:p w14:paraId="5F74CEB6" w14:textId="77777777" w:rsidR="00B764FC" w:rsidRDefault="00B764FC">
            <w:pPr>
              <w:rPr>
                <w:color w:val="000000"/>
                <w:sz w:val="18"/>
                <w:szCs w:val="18"/>
              </w:rPr>
            </w:pPr>
            <w:r>
              <w:rPr>
                <w:color w:val="000000"/>
                <w:sz w:val="18"/>
                <w:szCs w:val="18"/>
              </w:rPr>
              <w:lastRenderedPageBreak/>
              <w:t xml:space="preserve">Future precinct structure plans (PSPs) particularly in the Northern and Western Growth Areas provide an opportunity for consideration of the potential contribution of these development to the identified need for social housing </w:t>
            </w:r>
          </w:p>
        </w:tc>
      </w:tr>
      <w:tr w:rsidR="00B764FC" w14:paraId="1C88302B" w14:textId="77777777">
        <w:trPr>
          <w:trHeight w:val="20"/>
        </w:trPr>
        <w:tc>
          <w:tcPr>
            <w:tcW w:w="1161" w:type="dxa"/>
            <w:tcBorders>
              <w:left w:val="nil"/>
              <w:bottom w:val="nil"/>
              <w:right w:val="nil"/>
            </w:tcBorders>
            <w:shd w:val="clear" w:color="000000" w:fill="808080"/>
            <w:vAlign w:val="center"/>
          </w:tcPr>
          <w:p w14:paraId="50D3CB06" w14:textId="77777777" w:rsidR="00B764FC" w:rsidRDefault="00B764FC">
            <w:pPr>
              <w:jc w:val="center"/>
              <w:rPr>
                <w:b/>
                <w:bCs/>
                <w:color w:val="FFFFFF"/>
                <w:sz w:val="18"/>
                <w:szCs w:val="18"/>
              </w:rPr>
            </w:pPr>
            <w:r>
              <w:rPr>
                <w:b/>
                <w:bCs/>
                <w:color w:val="FFFFFF"/>
                <w:sz w:val="18"/>
                <w:szCs w:val="18"/>
              </w:rPr>
              <w:t xml:space="preserve">Implications for Geelong Social Housing Plan </w:t>
            </w:r>
          </w:p>
        </w:tc>
        <w:tc>
          <w:tcPr>
            <w:tcW w:w="3497" w:type="dxa"/>
            <w:tcBorders>
              <w:left w:val="nil"/>
              <w:bottom w:val="nil"/>
              <w:right w:val="nil"/>
            </w:tcBorders>
            <w:vAlign w:val="center"/>
          </w:tcPr>
          <w:p w14:paraId="68209352" w14:textId="77777777" w:rsidR="00B764FC" w:rsidRDefault="00B764FC">
            <w:pPr>
              <w:rPr>
                <w:color w:val="000000"/>
                <w:sz w:val="18"/>
                <w:szCs w:val="18"/>
              </w:rPr>
            </w:pPr>
            <w:r>
              <w:rPr>
                <w:color w:val="000000"/>
                <w:sz w:val="18"/>
                <w:szCs w:val="18"/>
              </w:rPr>
              <w:t xml:space="preserve">The Commonwealth Government has a preference to use Registered Housing Agencies (RHA’s) as the channel for any public investment.        </w:t>
            </w:r>
          </w:p>
          <w:p w14:paraId="44C0B171" w14:textId="77777777" w:rsidR="00B764FC" w:rsidRDefault="00B764FC">
            <w:pPr>
              <w:rPr>
                <w:color w:val="000000"/>
                <w:sz w:val="18"/>
                <w:szCs w:val="18"/>
              </w:rPr>
            </w:pPr>
            <w:r>
              <w:rPr>
                <w:color w:val="000000"/>
                <w:sz w:val="18"/>
                <w:szCs w:val="18"/>
              </w:rPr>
              <w:t xml:space="preserve">                                                                                Currently in COGG there are 13 Registered Housing Agencies providing some social housing – but none of these RHA’s have their head office in Geelong      </w:t>
            </w:r>
          </w:p>
          <w:p w14:paraId="2F64112C" w14:textId="77777777" w:rsidR="00B764FC" w:rsidRDefault="00B764FC">
            <w:pPr>
              <w:rPr>
                <w:color w:val="000000"/>
                <w:sz w:val="18"/>
                <w:szCs w:val="18"/>
              </w:rPr>
            </w:pPr>
            <w:r>
              <w:rPr>
                <w:color w:val="000000"/>
                <w:sz w:val="18"/>
                <w:szCs w:val="18"/>
              </w:rPr>
              <w:t xml:space="preserve">                                                                              The State Government </w:t>
            </w:r>
            <w:r>
              <w:rPr>
                <w:b/>
                <w:bCs/>
                <w:color w:val="000000"/>
                <w:sz w:val="18"/>
                <w:szCs w:val="18"/>
              </w:rPr>
              <w:t>Homes for Victorians</w:t>
            </w:r>
            <w:r>
              <w:rPr>
                <w:color w:val="000000"/>
                <w:sz w:val="18"/>
                <w:szCs w:val="18"/>
              </w:rPr>
              <w:t xml:space="preserve"> commitment to renew and expand public housing Included an initial pilot of 52 vacant public housing lots packaged up for redevelopment by the private or community housing sector (including sties in northern Geelong). These will now be developed by a private development company after a Registered Housing Agency assessed the risk as too great.  </w:t>
            </w:r>
          </w:p>
          <w:p w14:paraId="2CF385A6" w14:textId="77777777" w:rsidR="00B764FC" w:rsidRDefault="00B764FC">
            <w:pPr>
              <w:rPr>
                <w:color w:val="000000"/>
                <w:sz w:val="18"/>
                <w:szCs w:val="18"/>
              </w:rPr>
            </w:pPr>
          </w:p>
          <w:p w14:paraId="155B01C8" w14:textId="77777777" w:rsidR="00B764FC" w:rsidRDefault="00B764FC">
            <w:pPr>
              <w:rPr>
                <w:color w:val="000000"/>
                <w:sz w:val="18"/>
                <w:szCs w:val="18"/>
              </w:rPr>
            </w:pPr>
          </w:p>
        </w:tc>
        <w:tc>
          <w:tcPr>
            <w:tcW w:w="3094" w:type="dxa"/>
            <w:tcBorders>
              <w:left w:val="nil"/>
              <w:bottom w:val="nil"/>
              <w:right w:val="nil"/>
            </w:tcBorders>
            <w:vAlign w:val="center"/>
          </w:tcPr>
          <w:p w14:paraId="5F600C47" w14:textId="77777777" w:rsidR="00B764FC" w:rsidRDefault="00B764FC">
            <w:pPr>
              <w:rPr>
                <w:color w:val="000000"/>
                <w:sz w:val="18"/>
                <w:szCs w:val="18"/>
              </w:rPr>
            </w:pPr>
            <w:r>
              <w:rPr>
                <w:color w:val="000000"/>
                <w:sz w:val="18"/>
                <w:szCs w:val="18"/>
              </w:rPr>
              <w:t xml:space="preserve">                                                                                                1. </w:t>
            </w:r>
            <w:r>
              <w:rPr>
                <w:b/>
                <w:bCs/>
                <w:color w:val="000000"/>
                <w:sz w:val="18"/>
                <w:szCs w:val="18"/>
              </w:rPr>
              <w:t xml:space="preserve">Voluntary Affordable Housing Agreements </w:t>
            </w:r>
            <w:r>
              <w:rPr>
                <w:color w:val="000000"/>
                <w:sz w:val="18"/>
                <w:szCs w:val="18"/>
              </w:rPr>
              <w:t xml:space="preserve">negotiated as part of a rezoning process and PSP approval could trigger a significant supply of new social housing provided investment models are available to deliver on the opportunities negotiated  </w:t>
            </w:r>
          </w:p>
          <w:p w14:paraId="02C3E999" w14:textId="77777777" w:rsidR="00B764FC" w:rsidRDefault="00B764FC">
            <w:pPr>
              <w:rPr>
                <w:color w:val="000000"/>
                <w:sz w:val="18"/>
                <w:szCs w:val="18"/>
              </w:rPr>
            </w:pPr>
          </w:p>
          <w:p w14:paraId="30E531FA" w14:textId="77777777" w:rsidR="00B764FC" w:rsidRDefault="00B764FC">
            <w:pPr>
              <w:rPr>
                <w:color w:val="000000"/>
                <w:sz w:val="18"/>
                <w:szCs w:val="18"/>
              </w:rPr>
            </w:pPr>
            <w:r>
              <w:rPr>
                <w:color w:val="000000"/>
                <w:sz w:val="18"/>
                <w:szCs w:val="18"/>
              </w:rPr>
              <w:t xml:space="preserve">2. </w:t>
            </w:r>
            <w:r>
              <w:rPr>
                <w:b/>
                <w:bCs/>
                <w:color w:val="000000"/>
                <w:sz w:val="18"/>
                <w:szCs w:val="18"/>
              </w:rPr>
              <w:t>Planning scheme amendments</w:t>
            </w:r>
            <w:r>
              <w:rPr>
                <w:color w:val="000000"/>
                <w:sz w:val="18"/>
                <w:szCs w:val="18"/>
              </w:rPr>
              <w:t xml:space="preserve"> are of particular relevance in Geelong given the forecast growth for the municipality, particularly applicable through areas such: the Northern Geelong PSP, Infrastructure Contributions Plan or Development Contributions Plan; and the Western Geelong PSP and ICP or DCP, both of which are scheduled to be completed by December 2022          </w:t>
            </w:r>
          </w:p>
        </w:tc>
        <w:tc>
          <w:tcPr>
            <w:tcW w:w="2973" w:type="dxa"/>
            <w:tcBorders>
              <w:left w:val="nil"/>
              <w:bottom w:val="nil"/>
              <w:right w:val="nil"/>
            </w:tcBorders>
            <w:vAlign w:val="center"/>
          </w:tcPr>
          <w:p w14:paraId="63BB21C8" w14:textId="77777777" w:rsidR="00B764FC" w:rsidRDefault="00B764FC">
            <w:pPr>
              <w:rPr>
                <w:color w:val="000000"/>
                <w:sz w:val="18"/>
                <w:szCs w:val="18"/>
              </w:rPr>
            </w:pPr>
            <w:r>
              <w:rPr>
                <w:color w:val="000000"/>
                <w:sz w:val="18"/>
                <w:szCs w:val="18"/>
              </w:rPr>
              <w:t xml:space="preserve"> 1. The work of G21 has highlighted a significant issue for the implementation of any Social Housing Plan at a Local Government level:</w:t>
            </w:r>
          </w:p>
          <w:p w14:paraId="1D0BDDF5" w14:textId="77777777" w:rsidR="00B764FC" w:rsidRDefault="00B764FC">
            <w:pPr>
              <w:rPr>
                <w:color w:val="000000"/>
                <w:sz w:val="18"/>
                <w:szCs w:val="18"/>
              </w:rPr>
            </w:pPr>
            <w:r>
              <w:rPr>
                <w:color w:val="000000"/>
                <w:sz w:val="18"/>
                <w:szCs w:val="18"/>
              </w:rPr>
              <w:t xml:space="preserve"> </w:t>
            </w:r>
          </w:p>
          <w:p w14:paraId="6B4ED3D9" w14:textId="77777777" w:rsidR="00B764FC" w:rsidRDefault="00B764FC">
            <w:pPr>
              <w:rPr>
                <w:color w:val="000000"/>
                <w:sz w:val="18"/>
                <w:szCs w:val="18"/>
              </w:rPr>
            </w:pPr>
            <w:r>
              <w:rPr>
                <w:color w:val="000000"/>
                <w:sz w:val="18"/>
                <w:szCs w:val="18"/>
              </w:rPr>
              <w:t xml:space="preserve">the necessity of a funding model that provides certainty to a pipeline of social housing projects and enables Local Government to negotiate social housing outcomes through the planning approvals process with confidence                        </w:t>
            </w:r>
          </w:p>
          <w:p w14:paraId="4A220F7D" w14:textId="77777777" w:rsidR="00B764FC" w:rsidRDefault="00B764FC">
            <w:pPr>
              <w:rPr>
                <w:color w:val="000000"/>
                <w:sz w:val="18"/>
                <w:szCs w:val="18"/>
              </w:rPr>
            </w:pPr>
          </w:p>
          <w:p w14:paraId="17B8F85E" w14:textId="77777777" w:rsidR="00B764FC" w:rsidRDefault="00B764FC">
            <w:pPr>
              <w:rPr>
                <w:color w:val="000000"/>
                <w:sz w:val="18"/>
                <w:szCs w:val="18"/>
              </w:rPr>
            </w:pPr>
            <w:r>
              <w:rPr>
                <w:color w:val="000000"/>
                <w:sz w:val="18"/>
                <w:szCs w:val="18"/>
              </w:rPr>
              <w:t>2. G21 aims to support local government to facilitate the development of social housing on underutilised land</w:t>
            </w:r>
          </w:p>
        </w:tc>
        <w:tc>
          <w:tcPr>
            <w:tcW w:w="3733" w:type="dxa"/>
            <w:tcBorders>
              <w:left w:val="nil"/>
              <w:bottom w:val="nil"/>
              <w:right w:val="nil"/>
            </w:tcBorders>
            <w:vAlign w:val="center"/>
          </w:tcPr>
          <w:p w14:paraId="2E1CEC57" w14:textId="77777777" w:rsidR="00B764FC" w:rsidRDefault="00B764FC">
            <w:pPr>
              <w:rPr>
                <w:color w:val="000000"/>
                <w:sz w:val="18"/>
                <w:szCs w:val="18"/>
              </w:rPr>
            </w:pPr>
          </w:p>
          <w:p w14:paraId="26A3964E" w14:textId="2DDBBC5D" w:rsidR="00B764FC" w:rsidRDefault="00F9100A">
            <w:pPr>
              <w:rPr>
                <w:color w:val="000000"/>
                <w:sz w:val="18"/>
                <w:szCs w:val="18"/>
              </w:rPr>
            </w:pPr>
            <w:r>
              <w:rPr>
                <w:color w:val="000000"/>
                <w:sz w:val="18"/>
                <w:szCs w:val="18"/>
              </w:rPr>
              <w:t xml:space="preserve">The City </w:t>
            </w:r>
            <w:r w:rsidR="00B764FC">
              <w:rPr>
                <w:color w:val="000000"/>
                <w:sz w:val="18"/>
                <w:szCs w:val="18"/>
              </w:rPr>
              <w:t>will need to focus on the positive steps that can be taken to increase housing supply in established areas of Geelong.  This includes appropriate zonings, clear design guidelines linked to an accelerated planning approval process for complying developments and investment in ‘place making’ in the locations where Council is especially keen to encourage infill and higher density development</w:t>
            </w:r>
          </w:p>
          <w:p w14:paraId="6CC9F9DC" w14:textId="77777777" w:rsidR="00B764FC" w:rsidRDefault="00B764FC">
            <w:pPr>
              <w:rPr>
                <w:color w:val="000000"/>
                <w:sz w:val="18"/>
                <w:szCs w:val="18"/>
              </w:rPr>
            </w:pPr>
          </w:p>
          <w:p w14:paraId="1B8370B9" w14:textId="77777777" w:rsidR="00B764FC" w:rsidRDefault="00B764FC">
            <w:pPr>
              <w:rPr>
                <w:color w:val="000000"/>
                <w:sz w:val="18"/>
                <w:szCs w:val="18"/>
              </w:rPr>
            </w:pPr>
            <w:r>
              <w:rPr>
                <w:color w:val="000000"/>
                <w:sz w:val="18"/>
                <w:szCs w:val="18"/>
              </w:rPr>
              <w:t>Even with efficient financing provided by the National Housing Finance and Investment Corporation (NHFIC), there remains a considerable funding gap.</w:t>
            </w:r>
          </w:p>
        </w:tc>
      </w:tr>
    </w:tbl>
    <w:p w14:paraId="0AF4D0DA" w14:textId="14421F65" w:rsidR="00B764FC" w:rsidRPr="00795274" w:rsidRDefault="00517345">
      <w:pPr>
        <w:sectPr w:rsidR="00B764FC" w:rsidRPr="00795274">
          <w:pgSz w:w="16840" w:h="11907" w:orient="landscape" w:code="9"/>
          <w:pgMar w:top="1276" w:right="1701" w:bottom="1418" w:left="1440" w:header="709" w:footer="709" w:gutter="0"/>
          <w:cols w:space="708"/>
          <w:docGrid w:linePitch="360"/>
        </w:sectPr>
      </w:pPr>
      <w:r>
        <w:rPr>
          <w:noProof/>
          <w:color w:val="FFFFFF" w:themeColor="background1"/>
          <w:sz w:val="22"/>
          <w:szCs w:val="22"/>
          <w:lang w:eastAsia="en-AU"/>
        </w:rPr>
        <w:drawing>
          <wp:anchor distT="0" distB="0" distL="114300" distR="114300" simplePos="0" relativeHeight="251667968" behindDoc="0" locked="0" layoutInCell="1" allowOverlap="1" wp14:anchorId="41481AD0" wp14:editId="5D21166D">
            <wp:simplePos x="0" y="0"/>
            <wp:positionH relativeFrom="column">
              <wp:posOffset>779929</wp:posOffset>
            </wp:positionH>
            <wp:positionV relativeFrom="paragraph">
              <wp:posOffset>3554468</wp:posOffset>
            </wp:positionV>
            <wp:extent cx="7296785" cy="8384913"/>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ocial Housing Plan 2018-2034.jpg"/>
                    <pic:cNvPicPr/>
                  </pic:nvPicPr>
                  <pic:blipFill>
                    <a:blip r:embed="rId37">
                      <a:extLst>
                        <a:ext uri="{28A0092B-C50C-407E-A947-70E740481C1C}">
                          <a14:useLocalDpi xmlns:a14="http://schemas.microsoft.com/office/drawing/2010/main" val="0"/>
                        </a:ext>
                      </a:extLst>
                    </a:blip>
                    <a:stretch>
                      <a:fillRect/>
                    </a:stretch>
                  </pic:blipFill>
                  <pic:spPr>
                    <a:xfrm>
                      <a:off x="0" y="0"/>
                      <a:ext cx="7297194" cy="8385383"/>
                    </a:xfrm>
                    <a:prstGeom prst="rect">
                      <a:avLst/>
                    </a:prstGeom>
                  </pic:spPr>
                </pic:pic>
              </a:graphicData>
            </a:graphic>
            <wp14:sizeRelH relativeFrom="margin">
              <wp14:pctWidth>0</wp14:pctWidth>
            </wp14:sizeRelH>
            <wp14:sizeRelV relativeFrom="margin">
              <wp14:pctHeight>0</wp14:pctHeight>
            </wp14:sizeRelV>
          </wp:anchor>
        </w:drawing>
      </w:r>
    </w:p>
    <w:p w14:paraId="3FB8DE82" w14:textId="319A5E06" w:rsidR="00B764FC" w:rsidRPr="00795274" w:rsidRDefault="00517345" w:rsidP="00517345">
      <w:pPr>
        <w:tabs>
          <w:tab w:val="left" w:pos="993"/>
        </w:tabs>
        <w:spacing w:line="276" w:lineRule="auto"/>
        <w:jc w:val="both"/>
        <w:rPr>
          <w:color w:val="FFFFFF" w:themeColor="background1"/>
          <w:sz w:val="22"/>
          <w:szCs w:val="22"/>
        </w:rPr>
      </w:pPr>
      <w:r>
        <w:rPr>
          <w:noProof/>
          <w:color w:val="FFFFFF" w:themeColor="background1"/>
          <w:sz w:val="22"/>
          <w:szCs w:val="22"/>
          <w:lang w:eastAsia="en-AU"/>
        </w:rPr>
        <w:lastRenderedPageBreak/>
        <w:drawing>
          <wp:anchor distT="0" distB="0" distL="114300" distR="114300" simplePos="0" relativeHeight="251668992" behindDoc="0" locked="0" layoutInCell="1" allowOverlap="1" wp14:anchorId="3337C0D8" wp14:editId="384FAE55">
            <wp:simplePos x="0" y="0"/>
            <wp:positionH relativeFrom="column">
              <wp:posOffset>-869272</wp:posOffset>
            </wp:positionH>
            <wp:positionV relativeFrom="paragraph">
              <wp:posOffset>-806824</wp:posOffset>
            </wp:positionV>
            <wp:extent cx="7395998" cy="10461812"/>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cial Housing Plan 2018-2034.jpg"/>
                    <pic:cNvPicPr/>
                  </pic:nvPicPr>
                  <pic:blipFill>
                    <a:blip r:embed="rId37">
                      <a:extLst>
                        <a:ext uri="{28A0092B-C50C-407E-A947-70E740481C1C}">
                          <a14:useLocalDpi xmlns:a14="http://schemas.microsoft.com/office/drawing/2010/main" val="0"/>
                        </a:ext>
                      </a:extLst>
                    </a:blip>
                    <a:stretch>
                      <a:fillRect/>
                    </a:stretch>
                  </pic:blipFill>
                  <pic:spPr>
                    <a:xfrm>
                      <a:off x="0" y="0"/>
                      <a:ext cx="7406033" cy="10476007"/>
                    </a:xfrm>
                    <a:prstGeom prst="rect">
                      <a:avLst/>
                    </a:prstGeom>
                  </pic:spPr>
                </pic:pic>
              </a:graphicData>
            </a:graphic>
            <wp14:sizeRelH relativeFrom="margin">
              <wp14:pctWidth>0</wp14:pctWidth>
            </wp14:sizeRelH>
            <wp14:sizeRelV relativeFrom="margin">
              <wp14:pctHeight>0</wp14:pctHeight>
            </wp14:sizeRelV>
          </wp:anchor>
        </w:drawing>
      </w:r>
    </w:p>
    <w:sectPr w:rsidR="00B764FC" w:rsidRPr="00795274" w:rsidSect="00B764FC">
      <w:headerReference w:type="default" r:id="rId38"/>
      <w:footerReference w:type="default" r:id="rId39"/>
      <w:headerReference w:type="first" r:id="rId40"/>
      <w:footerReference w:type="first" r:id="rId4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BD1AA" w14:textId="77777777" w:rsidR="00515EE9" w:rsidRDefault="00515EE9">
      <w:r>
        <w:separator/>
      </w:r>
    </w:p>
    <w:p w14:paraId="5C4731D6" w14:textId="77777777" w:rsidR="00515EE9" w:rsidRDefault="00515EE9"/>
    <w:p w14:paraId="324FB8BB" w14:textId="77777777" w:rsidR="00515EE9" w:rsidRDefault="00515EE9"/>
  </w:endnote>
  <w:endnote w:type="continuationSeparator" w:id="0">
    <w:p w14:paraId="2E6A4EA5" w14:textId="77777777" w:rsidR="00515EE9" w:rsidRDefault="00515EE9">
      <w:r>
        <w:continuationSeparator/>
      </w:r>
    </w:p>
    <w:p w14:paraId="3F57DEEB" w14:textId="77777777" w:rsidR="00515EE9" w:rsidRDefault="00515EE9"/>
    <w:p w14:paraId="290FA215" w14:textId="77777777" w:rsidR="00515EE9" w:rsidRDefault="00515EE9"/>
  </w:endnote>
  <w:endnote w:type="continuationNotice" w:id="1">
    <w:p w14:paraId="73279F1A" w14:textId="77777777" w:rsidR="00515EE9" w:rsidRDefault="00515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Brandon Grotesque">
    <w:altName w:val="Calibri"/>
    <w:panose1 w:val="00000000000000000000"/>
    <w:charset w:val="00"/>
    <w:family w:val="swiss"/>
    <w:notTrueType/>
    <w:pitch w:val="default"/>
    <w:sig w:usb0="00000003" w:usb1="00000000" w:usb2="00000000" w:usb3="00000000" w:csb0="00000001" w:csb1="00000000"/>
  </w:font>
  <w:font w:name="Avenir Light">
    <w:altName w:val="Calibri"/>
    <w:panose1 w:val="00000000000000000000"/>
    <w:charset w:val="4D"/>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Avenir LT Std 55 Roman">
    <w:altName w:val="Tw Cen MT Condensed Extra Bol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F666" w14:textId="1F61DA4A" w:rsidR="00944200" w:rsidRDefault="00944200">
    <w:pPr>
      <w:pStyle w:val="Footer"/>
      <w:jc w:val="right"/>
    </w:pPr>
    <w:r>
      <w:fldChar w:fldCharType="begin"/>
    </w:r>
    <w:r>
      <w:instrText xml:space="preserve"> PAGE   \* MERGEFORMAT </w:instrText>
    </w:r>
    <w:r>
      <w:fldChar w:fldCharType="separate"/>
    </w:r>
    <w:r>
      <w:rPr>
        <w:noProof/>
      </w:rPr>
      <w:t>14</w:t>
    </w:r>
    <w:r>
      <w:rPr>
        <w:noProof/>
      </w:rPr>
      <w:fldChar w:fldCharType="end"/>
    </w:r>
  </w:p>
  <w:p w14:paraId="63C77414" w14:textId="68436479" w:rsidR="00944200" w:rsidRDefault="009442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6905F" w14:textId="7DE0467F" w:rsidR="00944200" w:rsidRDefault="00944200">
    <w:pPr>
      <w:pStyle w:val="Footer"/>
      <w:jc w:val="right"/>
    </w:pPr>
    <w:r>
      <w:fldChar w:fldCharType="begin"/>
    </w:r>
    <w:r>
      <w:instrText xml:space="preserve"> PAGE   \* MERGEFORMAT </w:instrText>
    </w:r>
    <w:r>
      <w:fldChar w:fldCharType="separate"/>
    </w:r>
    <w:r>
      <w:rPr>
        <w:noProof/>
      </w:rPr>
      <w:t>34</w:t>
    </w:r>
    <w:r>
      <w:rPr>
        <w:noProof/>
      </w:rPr>
      <w:fldChar w:fldCharType="end"/>
    </w:r>
  </w:p>
  <w:p w14:paraId="009D77AA" w14:textId="75254614" w:rsidR="00944200" w:rsidRDefault="00944200">
    <w:pPr>
      <w:pStyle w:val="Footer"/>
    </w:pPr>
    <w:r>
      <w:rPr>
        <w:noProof/>
        <w:lang w:eastAsia="en-AU"/>
      </w:rPr>
      <w:drawing>
        <wp:inline distT="0" distB="0" distL="0" distR="0" wp14:anchorId="31FE5B30" wp14:editId="255226C4">
          <wp:extent cx="5850890" cy="2686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ocial Housing banner.jpg"/>
                  <pic:cNvPicPr/>
                </pic:nvPicPr>
                <pic:blipFill>
                  <a:blip r:embed="rId1">
                    <a:extLst>
                      <a:ext uri="{28A0092B-C50C-407E-A947-70E740481C1C}">
                        <a14:useLocalDpi xmlns:a14="http://schemas.microsoft.com/office/drawing/2010/main" val="0"/>
                      </a:ext>
                    </a:extLst>
                  </a:blip>
                  <a:stretch>
                    <a:fillRect/>
                  </a:stretch>
                </pic:blipFill>
                <pic:spPr>
                  <a:xfrm>
                    <a:off x="0" y="0"/>
                    <a:ext cx="5850890" cy="26860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FA807" w14:textId="404D378F" w:rsidR="00944200" w:rsidRDefault="00944200">
    <w:pPr>
      <w:pStyle w:val="Footer"/>
      <w:jc w:val="right"/>
    </w:pPr>
    <w:r>
      <w:fldChar w:fldCharType="begin"/>
    </w:r>
    <w:r>
      <w:instrText xml:space="preserve"> PAGE   \* MERGEFORMAT </w:instrText>
    </w:r>
    <w:r>
      <w:fldChar w:fldCharType="separate"/>
    </w:r>
    <w:r>
      <w:rPr>
        <w:noProof/>
      </w:rPr>
      <w:t>90</w:t>
    </w:r>
    <w:r>
      <w:rPr>
        <w:noProof/>
      </w:rPr>
      <w:fldChar w:fldCharType="end"/>
    </w:r>
  </w:p>
  <w:p w14:paraId="3BCDC97B" w14:textId="4E72C4B8" w:rsidR="00944200" w:rsidRDefault="00944200">
    <w:pPr>
      <w:pStyle w:val="Footer"/>
    </w:pPr>
    <w:r>
      <w:rPr>
        <w:noProof/>
        <w:lang w:eastAsia="en-AU"/>
      </w:rPr>
      <w:drawing>
        <wp:inline distT="0" distB="0" distL="0" distR="0" wp14:anchorId="23F1A495" wp14:editId="0CB51D1B">
          <wp:extent cx="5850890" cy="26860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ocial Housing banner.jpg"/>
                  <pic:cNvPicPr/>
                </pic:nvPicPr>
                <pic:blipFill>
                  <a:blip r:embed="rId1">
                    <a:extLst>
                      <a:ext uri="{28A0092B-C50C-407E-A947-70E740481C1C}">
                        <a14:useLocalDpi xmlns:a14="http://schemas.microsoft.com/office/drawing/2010/main" val="0"/>
                      </a:ext>
                    </a:extLst>
                  </a:blip>
                  <a:stretch>
                    <a:fillRect/>
                  </a:stretch>
                </pic:blipFill>
                <pic:spPr>
                  <a:xfrm>
                    <a:off x="0" y="0"/>
                    <a:ext cx="5850890" cy="26860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341F3" w14:textId="7CB7CED1" w:rsidR="00944200" w:rsidRDefault="00944200">
    <w:pPr>
      <w:pStyle w:val="Footer"/>
      <w:framePr w:wrap="none" w:vAnchor="text" w:hAnchor="margin" w:xAlign="right" w:y="1"/>
      <w:rPr>
        <w:rStyle w:val="PageNumber"/>
        <w:rFonts w:ascii="Circular Std Book" w:hAnsi="Circular Std Book" w:cs="Circular Std Book"/>
        <w:sz w:val="20"/>
        <w:szCs w:val="20"/>
      </w:rPr>
    </w:pPr>
    <w:r>
      <w:rPr>
        <w:rStyle w:val="PageNumber"/>
        <w:rFonts w:ascii="Circular Std Book" w:hAnsi="Circular Std Book" w:cs="Circular Std Book"/>
        <w:sz w:val="20"/>
        <w:szCs w:val="20"/>
      </w:rPr>
      <w:fldChar w:fldCharType="begin"/>
    </w:r>
    <w:r>
      <w:rPr>
        <w:rStyle w:val="PageNumber"/>
        <w:rFonts w:ascii="Circular Std Book" w:hAnsi="Circular Std Book" w:cs="Circular Std Book"/>
        <w:sz w:val="20"/>
        <w:szCs w:val="20"/>
      </w:rPr>
      <w:instrText xml:space="preserve"> PAGE </w:instrText>
    </w:r>
    <w:r>
      <w:rPr>
        <w:rStyle w:val="PageNumber"/>
        <w:rFonts w:ascii="Circular Std Book" w:hAnsi="Circular Std Book" w:cs="Circular Std Book"/>
        <w:sz w:val="20"/>
        <w:szCs w:val="20"/>
      </w:rPr>
      <w:fldChar w:fldCharType="separate"/>
    </w:r>
    <w:r>
      <w:rPr>
        <w:rStyle w:val="PageNumber"/>
        <w:rFonts w:ascii="Circular Std Book" w:hAnsi="Circular Std Book" w:cs="Circular Std Book"/>
        <w:noProof/>
        <w:sz w:val="20"/>
        <w:szCs w:val="20"/>
      </w:rPr>
      <w:t>89</w:t>
    </w:r>
    <w:r>
      <w:rPr>
        <w:rStyle w:val="PageNumber"/>
        <w:rFonts w:ascii="Circular Std Book" w:hAnsi="Circular Std Book" w:cs="Circular Std Book"/>
        <w:sz w:val="20"/>
        <w:szCs w:val="20"/>
      </w:rPr>
      <w:fldChar w:fldCharType="end"/>
    </w:r>
  </w:p>
  <w:p w14:paraId="68D5FB90" w14:textId="77777777" w:rsidR="00944200" w:rsidRDefault="00944200">
    <w:pPr>
      <w:pStyle w:val="Footer"/>
      <w:ind w:right="360"/>
      <w:rPr>
        <w:rFonts w:ascii="Circular Std Book" w:hAnsi="Circular Std Book" w:cs="Circular Std Book"/>
        <w:sz w:val="20"/>
        <w:szCs w:val="20"/>
      </w:rPr>
    </w:pPr>
    <w:r>
      <w:rPr>
        <w:noProof/>
        <w:lang w:eastAsia="en-AU"/>
      </w:rPr>
      <w:drawing>
        <wp:anchor distT="0" distB="0" distL="114300" distR="114300" simplePos="0" relativeHeight="251674624" behindDoc="0" locked="0" layoutInCell="0" allowOverlap="1" wp14:anchorId="55BDD2BF" wp14:editId="6E4AD235">
          <wp:simplePos x="0" y="0"/>
          <wp:positionH relativeFrom="margin">
            <wp:posOffset>0</wp:posOffset>
          </wp:positionH>
          <wp:positionV relativeFrom="paragraph">
            <wp:posOffset>56515</wp:posOffset>
          </wp:positionV>
          <wp:extent cx="1028700" cy="139065"/>
          <wp:effectExtent l="1905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8700" cy="139065"/>
                  </a:xfrm>
                  <a:prstGeom prst="rect">
                    <a:avLst/>
                  </a:prstGeom>
                  <a:noFill/>
                </pic:spPr>
              </pic:pic>
            </a:graphicData>
          </a:graphic>
        </wp:anchor>
      </w:drawing>
    </w:r>
    <w:r>
      <w:rPr>
        <w:noProof/>
      </w:rPr>
      <w:t>1011</w:t>
    </w:r>
  </w:p>
  <w:p w14:paraId="7420BFEA" w14:textId="77777777" w:rsidR="00944200" w:rsidRDefault="00944200"/>
  <w:p w14:paraId="276F76D6" w14:textId="77777777" w:rsidR="00944200" w:rsidRDefault="0094420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FBAEC" w14:textId="77777777" w:rsidR="00944200" w:rsidRDefault="009442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EFF93" w14:textId="77777777" w:rsidR="00515EE9" w:rsidRDefault="00515EE9">
      <w:r>
        <w:separator/>
      </w:r>
    </w:p>
    <w:p w14:paraId="0AEF8C56" w14:textId="77777777" w:rsidR="00515EE9" w:rsidRDefault="00515EE9"/>
    <w:p w14:paraId="22E7823B" w14:textId="77777777" w:rsidR="00515EE9" w:rsidRDefault="00515EE9"/>
  </w:footnote>
  <w:footnote w:type="continuationSeparator" w:id="0">
    <w:p w14:paraId="777716B5" w14:textId="77777777" w:rsidR="00515EE9" w:rsidRDefault="00515EE9">
      <w:r>
        <w:continuationSeparator/>
      </w:r>
    </w:p>
    <w:p w14:paraId="2EAF132B" w14:textId="77777777" w:rsidR="00515EE9" w:rsidRDefault="00515EE9"/>
    <w:p w14:paraId="0D7F2461" w14:textId="77777777" w:rsidR="00515EE9" w:rsidRDefault="00515EE9"/>
  </w:footnote>
  <w:footnote w:type="continuationNotice" w:id="1">
    <w:p w14:paraId="4F488614" w14:textId="77777777" w:rsidR="00515EE9" w:rsidRDefault="00515EE9"/>
  </w:footnote>
  <w:footnote w:id="2">
    <w:p w14:paraId="11F261B3" w14:textId="77777777" w:rsidR="00944200" w:rsidRDefault="00944200">
      <w:pPr>
        <w:pStyle w:val="BodyText1"/>
        <w:jc w:val="both"/>
        <w:rPr>
          <w:rFonts w:ascii="Calibri" w:hAnsi="Calibri" w:cs="Calibri"/>
        </w:rPr>
      </w:pPr>
      <w:r>
        <w:rPr>
          <w:rStyle w:val="FootnoteReference"/>
        </w:rPr>
        <w:footnoteRef/>
      </w:r>
      <w:r>
        <w:t xml:space="preserve"> </w:t>
      </w:r>
      <w:r>
        <w:rPr>
          <w:rFonts w:ascii="Calibri" w:hAnsi="Calibri" w:cs="Calibri"/>
          <w:sz w:val="20"/>
          <w:szCs w:val="20"/>
        </w:rPr>
        <w:t>The City of Greater Geelong recognises that neither the Commonwealth nor State Governments are likely to enter long-term commitments and hence will seek to negotiate 5 year Agreements, with intention to renew in 5 year intervals.</w:t>
      </w:r>
    </w:p>
    <w:p w14:paraId="1A9AC408" w14:textId="77777777" w:rsidR="00944200" w:rsidRDefault="00944200">
      <w:pPr>
        <w:pStyle w:val="BodyText1"/>
        <w:jc w:val="both"/>
      </w:pPr>
    </w:p>
  </w:footnote>
  <w:footnote w:id="3">
    <w:p w14:paraId="3E5F1CA1" w14:textId="77777777" w:rsidR="00944200" w:rsidRDefault="00944200">
      <w:pPr>
        <w:tabs>
          <w:tab w:val="left" w:pos="1701"/>
          <w:tab w:val="left" w:pos="2552"/>
          <w:tab w:val="left" w:pos="3402"/>
          <w:tab w:val="left" w:pos="4253"/>
          <w:tab w:val="left" w:pos="5103"/>
          <w:tab w:val="left" w:pos="5954"/>
          <w:tab w:val="left" w:pos="6804"/>
          <w:tab w:val="left" w:pos="7655"/>
          <w:tab w:val="right" w:pos="9923"/>
        </w:tabs>
        <w:spacing w:before="240"/>
        <w:jc w:val="both"/>
        <w:rPr>
          <w:sz w:val="20"/>
          <w:szCs w:val="20"/>
        </w:rPr>
      </w:pPr>
      <w:r>
        <w:rPr>
          <w:rStyle w:val="FootnoteReference"/>
        </w:rPr>
        <w:footnoteRef/>
      </w:r>
      <w:r>
        <w:t xml:space="preserve"> </w:t>
      </w:r>
      <w:r>
        <w:rPr>
          <w:sz w:val="20"/>
          <w:szCs w:val="20"/>
        </w:rPr>
        <w:t xml:space="preserve">It is noted that the State Government has not set a mandatory or minimum affordable housing requirement, however, there is broad state based policy supporting the provision of affordable housing. There is a broad strategic planning basis to include affordable housing matters in local policy and in site specific planning controls. </w:t>
      </w:r>
    </w:p>
    <w:p w14:paraId="61DA2F64" w14:textId="77777777" w:rsidR="00944200" w:rsidRDefault="00944200">
      <w:pPr>
        <w:tabs>
          <w:tab w:val="left" w:pos="1701"/>
          <w:tab w:val="left" w:pos="2552"/>
          <w:tab w:val="left" w:pos="3402"/>
          <w:tab w:val="left" w:pos="4253"/>
          <w:tab w:val="left" w:pos="5103"/>
          <w:tab w:val="left" w:pos="5954"/>
          <w:tab w:val="left" w:pos="6804"/>
          <w:tab w:val="left" w:pos="7655"/>
          <w:tab w:val="right" w:pos="9923"/>
        </w:tabs>
        <w:spacing w:before="240"/>
        <w:jc w:val="both"/>
      </w:pPr>
    </w:p>
  </w:footnote>
  <w:footnote w:id="4">
    <w:p w14:paraId="0A59068B" w14:textId="77777777" w:rsidR="00944200" w:rsidRDefault="00944200">
      <w:pPr>
        <w:pStyle w:val="FootnoteText"/>
      </w:pPr>
      <w:r>
        <w:rPr>
          <w:rStyle w:val="FootnoteReference"/>
        </w:rPr>
        <w:footnoteRef/>
      </w:r>
      <w:r>
        <w:t xml:space="preserve"> </w:t>
      </w:r>
      <w:r>
        <w:tab/>
      </w:r>
      <w:r>
        <w:rPr>
          <w:rFonts w:ascii="Calibri" w:hAnsi="Calibri" w:cs="Calibri"/>
          <w:sz w:val="20"/>
          <w:szCs w:val="20"/>
        </w:rPr>
        <w:t xml:space="preserve">Australian Housing and Urban Research Institute (AHURI) 2019 </w:t>
      </w:r>
      <w:r>
        <w:rPr>
          <w:rFonts w:ascii="Calibri" w:hAnsi="Calibri" w:cs="Calibri"/>
          <w:i/>
          <w:iCs/>
          <w:sz w:val="20"/>
          <w:szCs w:val="20"/>
        </w:rPr>
        <w:t>Social housing as infrastructure: rationale, prioritisation and investment pathway.</w:t>
      </w:r>
    </w:p>
  </w:footnote>
  <w:footnote w:id="5">
    <w:p w14:paraId="145CB59A" w14:textId="77777777" w:rsidR="00944200" w:rsidRDefault="00944200">
      <w:pPr>
        <w:spacing w:line="276" w:lineRule="auto"/>
        <w:rPr>
          <w:i/>
          <w:iCs/>
          <w:sz w:val="16"/>
          <w:szCs w:val="16"/>
        </w:rPr>
      </w:pPr>
      <w:r>
        <w:rPr>
          <w:rStyle w:val="FootnoteReference"/>
          <w:sz w:val="16"/>
          <w:szCs w:val="16"/>
        </w:rPr>
        <w:footnoteRef/>
      </w:r>
      <w:r>
        <w:rPr>
          <w:sz w:val="16"/>
          <w:szCs w:val="16"/>
        </w:rPr>
        <w:t xml:space="preserve"> </w:t>
      </w:r>
      <w:r>
        <w:rPr>
          <w:sz w:val="18"/>
          <w:szCs w:val="18"/>
        </w:rPr>
        <w:t xml:space="preserve">More examples of how the application of these principles can lead to certain social housing ‘service models’ are provided in </w:t>
      </w:r>
      <w:r>
        <w:rPr>
          <w:i/>
          <w:iCs/>
          <w:sz w:val="18"/>
          <w:szCs w:val="18"/>
        </w:rPr>
        <w:t>Background Paper No. 2 - Affordable Housing Models</w:t>
      </w:r>
    </w:p>
    <w:p w14:paraId="43AF83C7" w14:textId="77777777" w:rsidR="00944200" w:rsidRDefault="00944200">
      <w:pPr>
        <w:spacing w:line="276" w:lineRule="auto"/>
      </w:pPr>
    </w:p>
  </w:footnote>
  <w:footnote w:id="6">
    <w:p w14:paraId="3F5F30ED" w14:textId="77777777" w:rsidR="00944200" w:rsidRDefault="00944200">
      <w:pPr>
        <w:pStyle w:val="FootnoteText"/>
        <w:ind w:firstLine="0"/>
      </w:pPr>
      <w:r>
        <w:rPr>
          <w:rStyle w:val="FootnoteReference"/>
        </w:rPr>
        <w:footnoteRef/>
      </w:r>
      <w:r>
        <w:t xml:space="preserve"> This assessment of affordable supply of rental properties is based on the number of suitably-sized properties that are within 30 per cent of gross income for low-income households. </w:t>
      </w:r>
    </w:p>
  </w:footnote>
  <w:footnote w:id="7">
    <w:p w14:paraId="41E4C073" w14:textId="77777777" w:rsidR="00944200" w:rsidRDefault="00944200"/>
    <w:p w14:paraId="7FB7D922" w14:textId="77777777" w:rsidR="00944200" w:rsidRDefault="00944200"/>
  </w:footnote>
  <w:footnote w:id="8">
    <w:p w14:paraId="4B11F9FE" w14:textId="77777777" w:rsidR="00944200" w:rsidRDefault="00944200">
      <w:pPr>
        <w:pStyle w:val="FootnoteText"/>
        <w:ind w:hanging="142"/>
      </w:pPr>
      <w:r>
        <w:rPr>
          <w:rStyle w:val="FootnoteReference"/>
          <w:sz w:val="16"/>
          <w:szCs w:val="16"/>
        </w:rPr>
        <w:footnoteRef/>
      </w:r>
      <w:r>
        <w:rPr>
          <w:sz w:val="16"/>
          <w:szCs w:val="16"/>
        </w:rPr>
        <w:t xml:space="preserve"> </w:t>
      </w:r>
      <w:r>
        <w:rPr>
          <w:sz w:val="16"/>
          <w:szCs w:val="16"/>
        </w:rPr>
        <w:tab/>
      </w:r>
      <w:r>
        <w:rPr>
          <w:rFonts w:ascii="Calibri" w:hAnsi="Calibri" w:cs="Calibri"/>
          <w:sz w:val="20"/>
          <w:szCs w:val="20"/>
        </w:rPr>
        <w:t>See ABS 2049.0 - Census of Population and Housing: Estimating Homelessness, 2016, Item 36.</w:t>
      </w:r>
    </w:p>
  </w:footnote>
  <w:footnote w:id="9">
    <w:p w14:paraId="0BB05CDE" w14:textId="77777777" w:rsidR="00944200" w:rsidRDefault="00944200">
      <w:pPr>
        <w:pStyle w:val="FootnoteText"/>
        <w:ind w:hanging="142"/>
      </w:pPr>
      <w:r>
        <w:rPr>
          <w:rStyle w:val="FootnoteReference"/>
          <w:rFonts w:ascii="Calibri" w:hAnsi="Calibri" w:cs="Calibri"/>
          <w:sz w:val="20"/>
          <w:szCs w:val="20"/>
        </w:rPr>
        <w:footnoteRef/>
      </w:r>
      <w:r>
        <w:rPr>
          <w:rFonts w:ascii="Calibri" w:hAnsi="Calibri" w:cs="Calibri"/>
          <w:sz w:val="20"/>
          <w:szCs w:val="20"/>
        </w:rPr>
        <w:t xml:space="preserve"> </w:t>
      </w:r>
      <w:r>
        <w:rPr>
          <w:rFonts w:ascii="Calibri" w:hAnsi="Calibri" w:cs="Calibri"/>
          <w:sz w:val="20"/>
          <w:szCs w:val="20"/>
        </w:rPr>
        <w:tab/>
        <w:t>AIHW, 2017/18</w:t>
      </w:r>
    </w:p>
  </w:footnote>
  <w:footnote w:id="10">
    <w:p w14:paraId="07E77117" w14:textId="77777777" w:rsidR="00944200" w:rsidRDefault="00944200">
      <w:pPr>
        <w:spacing w:before="240"/>
        <w:ind w:left="284" w:hanging="142"/>
      </w:pPr>
      <w:r>
        <w:rPr>
          <w:rStyle w:val="FootnoteReference"/>
          <w:sz w:val="20"/>
          <w:szCs w:val="20"/>
        </w:rPr>
        <w:footnoteRef/>
      </w:r>
      <w:r>
        <w:rPr>
          <w:sz w:val="20"/>
          <w:szCs w:val="20"/>
        </w:rPr>
        <w:t xml:space="preserve"> The majority o homeless people are either single adults, or single adult with children.  Thus, the number of people approximates the number of households.</w:t>
      </w:r>
      <w:r>
        <w:rPr>
          <w:sz w:val="16"/>
          <w:szCs w:val="16"/>
        </w:rPr>
        <w:t xml:space="preserve">  </w:t>
      </w:r>
    </w:p>
  </w:footnote>
  <w:footnote w:id="11">
    <w:p w14:paraId="54EA3AEC" w14:textId="77777777" w:rsidR="00944200" w:rsidRDefault="00944200">
      <w:pPr>
        <w:pStyle w:val="FootnoteText"/>
        <w:ind w:hanging="142"/>
      </w:pPr>
      <w:r>
        <w:rPr>
          <w:rStyle w:val="FootnoteReference"/>
        </w:rPr>
        <w:footnoteRef/>
      </w:r>
      <w:r>
        <w:t xml:space="preserve"> </w:t>
      </w:r>
      <w:r>
        <w:rPr>
          <w:rFonts w:ascii="Calibri" w:hAnsi="Calibri" w:cs="Calibri"/>
          <w:sz w:val="20"/>
          <w:szCs w:val="20"/>
        </w:rPr>
        <w:t>Socio-Economic Index for Areas (SEIFA) measures the relative level of socio-economic disadvantage based on a range of Census characteristics. A higher score on the index means a lower level of disadvantage. A lower score on the index means a higher level of disadvantage.1001.9 Australia 2016</w:t>
      </w:r>
    </w:p>
  </w:footnote>
  <w:footnote w:id="12">
    <w:p w14:paraId="38E35916" w14:textId="77777777" w:rsidR="00944200" w:rsidRDefault="00944200">
      <w:pPr>
        <w:pStyle w:val="FootnoteText"/>
      </w:pPr>
      <w:r>
        <w:rPr>
          <w:rStyle w:val="FootnoteReference"/>
        </w:rPr>
        <w:footnoteRef/>
      </w:r>
      <w:r>
        <w:t xml:space="preserve"> </w:t>
      </w:r>
      <w:r>
        <w:tab/>
      </w:r>
      <w:r>
        <w:rPr>
          <w:rFonts w:ascii="Calibri" w:hAnsi="Calibri" w:cs="Calibri"/>
          <w:sz w:val="20"/>
          <w:szCs w:val="20"/>
          <w:lang w:val="en-US"/>
        </w:rPr>
        <w:t xml:space="preserve">Refer to </w:t>
      </w:r>
      <w:r>
        <w:rPr>
          <w:rFonts w:ascii="Calibri" w:hAnsi="Calibri" w:cs="Calibri"/>
          <w:sz w:val="20"/>
          <w:szCs w:val="20"/>
        </w:rPr>
        <w:t xml:space="preserve">City of Greater Geelong </w:t>
      </w:r>
      <w:r>
        <w:rPr>
          <w:rFonts w:ascii="Calibri" w:hAnsi="Calibri" w:cs="Calibri"/>
          <w:i/>
          <w:iCs/>
          <w:sz w:val="20"/>
          <w:szCs w:val="20"/>
        </w:rPr>
        <w:t xml:space="preserve">Settlement Strategy </w:t>
      </w:r>
      <w:r>
        <w:rPr>
          <w:rFonts w:ascii="Calibri" w:hAnsi="Calibri" w:cs="Calibri"/>
          <w:sz w:val="20"/>
          <w:szCs w:val="20"/>
        </w:rPr>
        <w:t>for more details</w:t>
      </w:r>
      <w:r>
        <w:rPr>
          <w:rFonts w:ascii="Calibri" w:hAnsi="Calibri" w:cs="Calibri"/>
          <w:sz w:val="20"/>
          <w:szCs w:val="20"/>
          <w:lang w:val="en-US"/>
        </w:rPr>
        <w:t>.</w:t>
      </w:r>
      <w:r>
        <w:rPr>
          <w:sz w:val="20"/>
          <w:szCs w:val="20"/>
          <w:lang w:val="en-US"/>
        </w:rPr>
        <w:t xml:space="preserve">  </w:t>
      </w:r>
    </w:p>
  </w:footnote>
  <w:footnote w:id="13">
    <w:p w14:paraId="04DD634F" w14:textId="77777777" w:rsidR="00944200" w:rsidRDefault="00944200">
      <w:pPr>
        <w:pStyle w:val="FootnoteText"/>
      </w:pPr>
      <w:r>
        <w:rPr>
          <w:rStyle w:val="FootnoteReference"/>
        </w:rPr>
        <w:footnoteRef/>
      </w:r>
      <w:r>
        <w:t xml:space="preserve"> </w:t>
      </w:r>
      <w:r>
        <w:tab/>
      </w:r>
      <w:r>
        <w:rPr>
          <w:rFonts w:ascii="Calibri" w:hAnsi="Calibri" w:cs="Calibri"/>
          <w:sz w:val="20"/>
          <w:szCs w:val="20"/>
        </w:rPr>
        <w:t>Ibid.</w:t>
      </w:r>
    </w:p>
  </w:footnote>
  <w:footnote w:id="14">
    <w:p w14:paraId="36F65D72" w14:textId="77777777" w:rsidR="00944200" w:rsidRDefault="00944200">
      <w:pPr>
        <w:pStyle w:val="FootnoteText"/>
      </w:pPr>
      <w:r>
        <w:rPr>
          <w:rStyle w:val="FootnoteReference"/>
        </w:rPr>
        <w:footnoteRef/>
      </w:r>
      <w:r>
        <w:t xml:space="preserve"> </w:t>
      </w:r>
      <w:r>
        <w:tab/>
      </w:r>
      <w:r>
        <w:rPr>
          <w:i/>
          <w:iCs/>
          <w:sz w:val="20"/>
          <w:szCs w:val="20"/>
        </w:rPr>
        <w:t>Source</w:t>
      </w:r>
      <w:r>
        <w:rPr>
          <w:sz w:val="20"/>
          <w:szCs w:val="20"/>
        </w:rPr>
        <w:t>: Department of Treasury and Finance; Refer to Section2 ‘Definitions’ for a definition of Community Housing properties</w:t>
      </w:r>
    </w:p>
  </w:footnote>
  <w:footnote w:id="15">
    <w:p w14:paraId="246BAA18" w14:textId="77777777" w:rsidR="00944200" w:rsidRDefault="00944200">
      <w:pPr>
        <w:spacing w:before="60" w:after="240"/>
        <w:ind w:left="142"/>
        <w:jc w:val="both"/>
      </w:pPr>
      <w:r>
        <w:rPr>
          <w:rStyle w:val="FootnoteReference"/>
        </w:rPr>
        <w:footnoteRef/>
      </w:r>
      <w:r>
        <w:t xml:space="preserve"> </w:t>
      </w:r>
      <w:r>
        <w:rPr>
          <w:sz w:val="20"/>
          <w:szCs w:val="20"/>
        </w:rPr>
        <w:t>Further information about the operations of the Department of Health and Human Services and the Registered Housing Agencies is provided in Section 9.</w:t>
      </w:r>
    </w:p>
  </w:footnote>
  <w:footnote w:id="16">
    <w:p w14:paraId="51691FBA" w14:textId="6919CE0A" w:rsidR="00944200" w:rsidRDefault="00944200">
      <w:pPr>
        <w:pStyle w:val="FootnoteText"/>
      </w:pPr>
      <w:r>
        <w:rPr>
          <w:rStyle w:val="FootnoteReference"/>
        </w:rPr>
        <w:footnoteRef/>
      </w:r>
      <w:r>
        <w:t xml:space="preserve"> </w:t>
      </w:r>
      <w:r>
        <w:rPr>
          <w:rFonts w:ascii="Calibri" w:hAnsi="Calibri" w:cs="Calibri"/>
          <w:sz w:val="20"/>
          <w:szCs w:val="20"/>
        </w:rPr>
        <w:t>Refer to Section 8.2 for a definition of Registered Housing Associations</w:t>
      </w:r>
      <w:r>
        <w:rPr>
          <w:sz w:val="20"/>
          <w:szCs w:val="20"/>
        </w:rPr>
        <w:t xml:space="preserve"> </w:t>
      </w:r>
    </w:p>
  </w:footnote>
  <w:footnote w:id="17">
    <w:p w14:paraId="48F30793" w14:textId="77777777" w:rsidR="00944200" w:rsidRDefault="00944200">
      <w:pPr>
        <w:pStyle w:val="FootnoteText"/>
      </w:pPr>
      <w:r w:rsidRPr="008F0933">
        <w:rPr>
          <w:rStyle w:val="FootnoteReference"/>
          <w:color w:val="auto"/>
          <w:u w:val="single"/>
        </w:rPr>
        <w:footnoteRef/>
      </w:r>
      <w:r w:rsidRPr="008F0933">
        <w:rPr>
          <w:color w:val="auto"/>
          <w:u w:val="single"/>
        </w:rPr>
        <w:t xml:space="preserve"> </w:t>
      </w:r>
      <w:hyperlink r:id="rId1" w:history="1">
        <w:r w:rsidRPr="008F0933">
          <w:rPr>
            <w:rStyle w:val="Hyperlink"/>
            <w:rFonts w:ascii="Calibri" w:hAnsi="Calibri" w:cs="Calibri"/>
            <w:color w:val="auto"/>
          </w:rPr>
          <w:t>https://www.dhhs.vic.gov.au/public-housing-renewal-program</w:t>
        </w:r>
      </w:hyperlink>
    </w:p>
  </w:footnote>
  <w:footnote w:id="18">
    <w:p w14:paraId="2E76668C" w14:textId="77777777" w:rsidR="00944200" w:rsidRDefault="00944200">
      <w:pPr>
        <w:pStyle w:val="FootnoteText"/>
        <w:ind w:left="0" w:firstLine="0"/>
      </w:pPr>
      <w:r>
        <w:rPr>
          <w:rStyle w:val="FootnoteReference"/>
          <w:rFonts w:ascii="Calibri" w:hAnsi="Calibri" w:cs="Calibri"/>
        </w:rPr>
        <w:footnoteRef/>
      </w:r>
      <w:r>
        <w:rPr>
          <w:rFonts w:ascii="Calibri" w:hAnsi="Calibri" w:cs="Calibri"/>
        </w:rPr>
        <w:t xml:space="preserve"> The recommendations of the </w:t>
      </w:r>
      <w:r>
        <w:rPr>
          <w:rFonts w:ascii="Calibri" w:hAnsi="Calibri" w:cs="Calibri"/>
          <w:i/>
          <w:iCs/>
        </w:rPr>
        <w:t>Corio Norlane Structure Plan</w:t>
      </w:r>
      <w:r>
        <w:rPr>
          <w:rFonts w:ascii="Calibri" w:hAnsi="Calibri" w:cs="Calibri"/>
        </w:rPr>
        <w:t xml:space="preserve"> and the </w:t>
      </w:r>
      <w:r>
        <w:rPr>
          <w:rFonts w:ascii="Calibri" w:hAnsi="Calibri" w:cs="Calibri"/>
          <w:i/>
          <w:iCs/>
        </w:rPr>
        <w:t>Whittington Land Use Concept Strategy</w:t>
      </w:r>
      <w:r>
        <w:rPr>
          <w:rFonts w:ascii="Calibri" w:hAnsi="Calibri" w:cs="Calibri"/>
        </w:rPr>
        <w:t>, still remain to be fully implemented.</w:t>
      </w:r>
      <w:r>
        <w:t xml:space="preserve"> </w:t>
      </w:r>
    </w:p>
  </w:footnote>
  <w:footnote w:id="19">
    <w:p w14:paraId="0F48E207" w14:textId="77777777" w:rsidR="00944200" w:rsidRDefault="00944200">
      <w:pPr>
        <w:pStyle w:val="FootnoteText"/>
      </w:pPr>
      <w:r>
        <w:rPr>
          <w:rStyle w:val="FootnoteReference"/>
        </w:rPr>
        <w:footnoteRef/>
      </w:r>
      <w:r>
        <w:t xml:space="preserve"> Victorian Housing Registrar, http://www.housingregistrar.vic.gov.au/Who-we-regulate/Housing-providers (accessed 10 Dec 2018)</w:t>
      </w:r>
    </w:p>
  </w:footnote>
  <w:footnote w:id="20">
    <w:p w14:paraId="7A13DFDC" w14:textId="7A759E67" w:rsidR="00944200" w:rsidRDefault="00944200">
      <w:pPr>
        <w:pStyle w:val="FootnoteText"/>
      </w:pPr>
      <w:r>
        <w:rPr>
          <w:rStyle w:val="FootnoteReference"/>
        </w:rPr>
        <w:footnoteRef/>
      </w:r>
      <w:r>
        <w:t xml:space="preserve"> This dwelling estimate is based on high level assumptions including all of the land being used for social housing, lot sizes, and dwelling sizes. </w:t>
      </w:r>
    </w:p>
    <w:p w14:paraId="677FF966" w14:textId="77777777" w:rsidR="00944200" w:rsidRDefault="00944200">
      <w:pPr>
        <w:pStyle w:val="FootnoteText"/>
      </w:pPr>
    </w:p>
  </w:footnote>
  <w:footnote w:id="21">
    <w:p w14:paraId="338FAF46" w14:textId="77777777" w:rsidR="00944200" w:rsidRDefault="00944200">
      <w:pPr>
        <w:ind w:left="567"/>
        <w:rPr>
          <w:i/>
          <w:iCs/>
          <w:color w:val="000000"/>
          <w:sz w:val="22"/>
          <w:szCs w:val="22"/>
        </w:rPr>
      </w:pPr>
      <w:r>
        <w:rPr>
          <w:rStyle w:val="FootnoteReference"/>
        </w:rPr>
        <w:footnoteRef/>
      </w:r>
      <w:r>
        <w:t xml:space="preserve"> </w:t>
      </w:r>
      <w:r>
        <w:rPr>
          <w:sz w:val="20"/>
          <w:szCs w:val="20"/>
        </w:rPr>
        <w:t xml:space="preserve">Full details of this policy context can be found in the City of Greater Geelong Social Housing Plan - </w:t>
      </w:r>
      <w:r>
        <w:rPr>
          <w:i/>
          <w:iCs/>
          <w:color w:val="000000"/>
          <w:sz w:val="20"/>
          <w:szCs w:val="20"/>
        </w:rPr>
        <w:t>Background Report No. 3: Policy Discussion Paper.</w:t>
      </w:r>
    </w:p>
    <w:p w14:paraId="2A43D584" w14:textId="77777777" w:rsidR="00944200" w:rsidRDefault="00944200">
      <w:pPr>
        <w:ind w:left="567"/>
      </w:pPr>
    </w:p>
  </w:footnote>
  <w:footnote w:id="22">
    <w:p w14:paraId="0762EE91" w14:textId="77777777" w:rsidR="00944200" w:rsidRDefault="00944200">
      <w:pPr>
        <w:ind w:left="567"/>
        <w:rPr>
          <w:i/>
          <w:iCs/>
          <w:color w:val="000000"/>
          <w:sz w:val="22"/>
          <w:szCs w:val="22"/>
        </w:rPr>
      </w:pPr>
      <w:r>
        <w:rPr>
          <w:rStyle w:val="FootnoteReference"/>
        </w:rPr>
        <w:footnoteRef/>
      </w:r>
      <w:r>
        <w:t xml:space="preserve"> </w:t>
      </w:r>
      <w:r>
        <w:rPr>
          <w:sz w:val="20"/>
          <w:szCs w:val="20"/>
        </w:rPr>
        <w:t xml:space="preserve">Further details about other Local Government initiatives related to Social housing refer to the City of Greater Geelong Social Housing Plan - </w:t>
      </w:r>
      <w:r>
        <w:rPr>
          <w:i/>
          <w:iCs/>
          <w:color w:val="000000"/>
          <w:sz w:val="20"/>
          <w:szCs w:val="20"/>
        </w:rPr>
        <w:t>Background Report No. 3: Policy Discussion Paper.</w:t>
      </w:r>
    </w:p>
    <w:p w14:paraId="7966DA55" w14:textId="77777777" w:rsidR="00944200" w:rsidRDefault="00944200">
      <w:pPr>
        <w:ind w:left="567"/>
      </w:pPr>
    </w:p>
  </w:footnote>
  <w:footnote w:id="23">
    <w:p w14:paraId="79D2EEC7" w14:textId="77777777" w:rsidR="00944200" w:rsidRDefault="00944200">
      <w:pPr>
        <w:pStyle w:val="FootnoteText"/>
      </w:pPr>
      <w:r>
        <w:rPr>
          <w:rStyle w:val="FootnoteReference"/>
        </w:rPr>
        <w:footnoteRef/>
      </w:r>
      <w:r>
        <w:t xml:space="preserve"> </w:t>
      </w:r>
      <w:r>
        <w:rPr>
          <w:rFonts w:ascii="Calibri" w:hAnsi="Calibri" w:cs="Calibri"/>
        </w:rPr>
        <w:t xml:space="preserve">Refer to the following link for a list of Registered Housing Associations: </w:t>
      </w:r>
      <w:hyperlink r:id="rId2" w:history="1">
        <w:r>
          <w:rPr>
            <w:rStyle w:val="Hyperlink"/>
            <w:rFonts w:ascii="Calibri" w:hAnsi="Calibri" w:cs="Calibri"/>
            <w:color w:val="auto"/>
          </w:rPr>
          <w:t>http://www.housingregistrar.vic.gov.au/Who-we-regulate</w:t>
        </w:r>
      </w:hyperlink>
    </w:p>
  </w:footnote>
  <w:footnote w:id="24">
    <w:p w14:paraId="2C1F4AE5" w14:textId="77777777" w:rsidR="00944200" w:rsidRDefault="00944200">
      <w:pPr>
        <w:pStyle w:val="FootnoteText"/>
      </w:pPr>
      <w:r>
        <w:rPr>
          <w:rStyle w:val="FootnoteReference"/>
        </w:rPr>
        <w:footnoteRef/>
      </w:r>
      <w:r>
        <w:t xml:space="preserve"> </w:t>
      </w:r>
      <w:r>
        <w:rPr>
          <w:rFonts w:ascii="Calibri" w:hAnsi="Calibri" w:cs="Calibri"/>
        </w:rPr>
        <w:t>For the current project ‘Housing Stress’ refers to very low, and low-income households that are paying more than 30% of household income on 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165E" w14:textId="6916DEDA" w:rsidR="00944200" w:rsidRDefault="00944200">
    <w:pPr>
      <w:pStyle w:val="Header"/>
    </w:pPr>
    <w:r>
      <w:rPr>
        <w:noProof/>
        <w:lang w:eastAsia="en-AU"/>
      </w:rPr>
      <mc:AlternateContent>
        <mc:Choice Requires="wps">
          <w:drawing>
            <wp:anchor distT="0" distB="0" distL="114300" distR="114300" simplePos="0" relativeHeight="251664384" behindDoc="1" locked="0" layoutInCell="0" allowOverlap="1" wp14:anchorId="4EFA49CA" wp14:editId="2D704BB4">
              <wp:simplePos x="0" y="0"/>
              <wp:positionH relativeFrom="margin">
                <wp:posOffset>0</wp:posOffset>
              </wp:positionH>
              <wp:positionV relativeFrom="margin">
                <wp:posOffset>0</wp:posOffset>
              </wp:positionV>
              <wp:extent cx="5155565" cy="106680"/>
              <wp:effectExtent l="0" t="635" r="0" b="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2700000">
                        <a:off x="0" y="0"/>
                        <a:ext cx="515556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61DA9A" w14:textId="77777777" w:rsidR="00944200" w:rsidRDefault="00944200">
                          <w:pPr>
                            <w:jc w:val="center"/>
                          </w:pPr>
                          <w:r>
                            <w:rPr>
                              <w:color w:val="C0C0C0"/>
                              <w:sz w:val="2"/>
                              <w:szCs w:val="2"/>
                            </w:rPr>
                            <w:t>draft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FA49CA" id="_x0000_t202" coordsize="21600,21600" o:spt="202" path="m,l,21600r21600,l21600,xe">
              <v:stroke joinstyle="miter"/>
              <v:path gradientshapeok="t" o:connecttype="rect"/>
            </v:shapetype>
            <v:shape id="Text Box 7" o:spid="_x0000_s1030" type="#_x0000_t202" style="position:absolute;margin-left:0;margin-top:0;width:405.95pt;height:8.4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" o:allowincell="f" filled="f" stroked="f">
              <v:stroke joinstyle="round"/>
              <o:lock v:ext="edit" shapetype="t"/>
              <v:textbox style="mso-fit-shape-to-text:t">
                <w:txbxContent>
                  <w:p w14:paraId="6C61DA9A" w14:textId="77777777" w:rsidR="00944200" w:rsidRDefault="00944200">
                    <w:pPr>
                      <w:jc w:val="cente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5AA1" w14:textId="69C796A8" w:rsidR="00944200" w:rsidRDefault="00944200">
    <w:pPr>
      <w:pStyle w:val="Header"/>
    </w:pPr>
    <w:r>
      <w:rPr>
        <w:noProof/>
        <w:lang w:eastAsia="en-AU"/>
      </w:rPr>
      <mc:AlternateContent>
        <mc:Choice Requires="wps">
          <w:drawing>
            <wp:anchor distT="0" distB="0" distL="114300" distR="114300" simplePos="0" relativeHeight="251671552" behindDoc="1" locked="0" layoutInCell="0" allowOverlap="1" wp14:anchorId="63D033C4" wp14:editId="616B3B1C">
              <wp:simplePos x="0" y="0"/>
              <wp:positionH relativeFrom="margin">
                <wp:posOffset>0</wp:posOffset>
              </wp:positionH>
              <wp:positionV relativeFrom="margin">
                <wp:posOffset>0</wp:posOffset>
              </wp:positionV>
              <wp:extent cx="5155565" cy="3093085"/>
              <wp:effectExtent l="0" t="733425" r="0" b="516890"/>
              <wp:wrapNone/>
              <wp:docPr id="2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155565" cy="30930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302E14" w14:textId="77777777" w:rsidR="00944200" w:rsidRDefault="00944200" w:rsidP="00EB3FE0">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3D033C4" id="_x0000_t202" coordsize="21600,21600" o:spt="202" path="m,l,21600r21600,l21600,xe">
              <v:stroke joinstyle="miter"/>
              <v:path gradientshapeok="t" o:connecttype="rect"/>
            </v:shapetype>
            <v:shape id="WordArt 7" o:spid="_x0000_s1031" type="#_x0000_t202" style="position:absolute;margin-left:0;margin-top:0;width:405.95pt;height:243.55pt;rotation:-45;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" o:allowincell="f" filled="f" stroked="f">
              <v:stroke joinstyle="round"/>
              <o:lock v:ext="edit" shapetype="t"/>
              <v:textbox style="mso-fit-shape-to-text:t">
                <w:txbxContent>
                  <w:p w14:paraId="6C302E14" w14:textId="77777777" w:rsidR="00944200" w:rsidRDefault="00944200" w:rsidP="00EB3FE0">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AU"/>
      </w:rPr>
      <w:drawing>
        <wp:anchor distT="0" distB="0" distL="114300" distR="114300" simplePos="0" relativeHeight="251672576" behindDoc="0" locked="0" layoutInCell="0" allowOverlap="1" wp14:anchorId="455EC55D" wp14:editId="5FC64E7C">
          <wp:simplePos x="0" y="0"/>
          <wp:positionH relativeFrom="margin">
            <wp:posOffset>5201285</wp:posOffset>
          </wp:positionH>
          <wp:positionV relativeFrom="paragraph">
            <wp:posOffset>-248920</wp:posOffset>
          </wp:positionV>
          <wp:extent cx="581025" cy="582295"/>
          <wp:effectExtent l="19050" t="0" r="952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81025" cy="582295"/>
                  </a:xfrm>
                  <a:prstGeom prst="rect">
                    <a:avLst/>
                  </a:prstGeom>
                  <a:noFill/>
                </pic:spPr>
              </pic:pic>
            </a:graphicData>
          </a:graphic>
        </wp:anchor>
      </w:drawing>
    </w:r>
    <w:r>
      <w:rPr>
        <w:noProof/>
      </w:rPr>
      <w:t>011</w:t>
    </w:r>
    <w:r>
      <w:rPr>
        <w:noProof/>
      </w:rPr>
      <w:softHyphen/>
    </w:r>
  </w:p>
  <w:p w14:paraId="5DE3B7B7" w14:textId="77777777" w:rsidR="00944200" w:rsidRDefault="00944200"/>
  <w:p w14:paraId="040BD09C" w14:textId="77777777" w:rsidR="00944200" w:rsidRDefault="009442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2E32F" w14:textId="1EED8077" w:rsidR="00944200" w:rsidRPr="00517345" w:rsidRDefault="00944200" w:rsidP="00517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B18DB"/>
    <w:multiLevelType w:val="multilevel"/>
    <w:tmpl w:val="A0F0A73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1258C3"/>
    <w:multiLevelType w:val="multilevel"/>
    <w:tmpl w:val="1602C6BE"/>
    <w:lvl w:ilvl="0">
      <w:start w:val="1"/>
      <w:numFmt w:val="decimal"/>
      <w:lvlText w:val="%1."/>
      <w:lvlJc w:val="left"/>
      <w:pPr>
        <w:ind w:left="940" w:hanging="360"/>
      </w:p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 w15:restartNumberingAfterBreak="0">
    <w:nsid w:val="09507428"/>
    <w:multiLevelType w:val="multilevel"/>
    <w:tmpl w:val="C8C0EE58"/>
    <w:lvl w:ilvl="0">
      <w:start w:val="18"/>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C392A2B"/>
    <w:multiLevelType w:val="multilevel"/>
    <w:tmpl w:val="E3F01F48"/>
    <w:lvl w:ilvl="0">
      <w:start w:val="18"/>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F793A57"/>
    <w:multiLevelType w:val="multilevel"/>
    <w:tmpl w:val="C812D8A4"/>
    <w:lvl w:ilvl="0">
      <w:start w:val="18"/>
      <w:numFmt w:val="bullet"/>
      <w:lvlText w:val="-"/>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5" w15:restartNumberingAfterBreak="0">
    <w:nsid w:val="107929C1"/>
    <w:multiLevelType w:val="multilevel"/>
    <w:tmpl w:val="2EAA91AC"/>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1173175C"/>
    <w:multiLevelType w:val="multilevel"/>
    <w:tmpl w:val="A28E8E2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DD77B2D"/>
    <w:multiLevelType w:val="multilevel"/>
    <w:tmpl w:val="79A41194"/>
    <w:lvl w:ilvl="0">
      <w:start w:val="1"/>
      <w:numFmt w:val="decimal"/>
      <w:pStyle w:val="Style1"/>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1E6F52D8"/>
    <w:multiLevelType w:val="multilevel"/>
    <w:tmpl w:val="D73A76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8644FA"/>
    <w:multiLevelType w:val="multilevel"/>
    <w:tmpl w:val="CA76D02C"/>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1F36128F"/>
    <w:multiLevelType w:val="multilevel"/>
    <w:tmpl w:val="B8202CAA"/>
    <w:lvl w:ilvl="0">
      <w:start w:val="1"/>
      <w:numFmt w:val="decimal"/>
      <w:pStyle w:val="Heading1"/>
      <w:lvlText w:val="%1."/>
      <w:lvlJc w:val="left"/>
      <w:pPr>
        <w:ind w:left="1080" w:hanging="720"/>
      </w:pPr>
      <w:rPr>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6854BC"/>
    <w:multiLevelType w:val="multilevel"/>
    <w:tmpl w:val="14E01BBE"/>
    <w:lvl w:ilvl="0">
      <w:start w:val="4"/>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1C719EA"/>
    <w:multiLevelType w:val="multilevel"/>
    <w:tmpl w:val="BF6E702A"/>
    <w:lvl w:ilvl="0">
      <w:start w:val="18"/>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6605888"/>
    <w:multiLevelType w:val="multilevel"/>
    <w:tmpl w:val="291EF0C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286A3397"/>
    <w:multiLevelType w:val="multilevel"/>
    <w:tmpl w:val="AE36B96E"/>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9166B39"/>
    <w:multiLevelType w:val="multilevel"/>
    <w:tmpl w:val="6ADA9D72"/>
    <w:lvl w:ilvl="0">
      <w:start w:val="1"/>
      <w:numFmt w:val="decimal"/>
      <w:lvlText w:val="%1."/>
      <w:lvlJc w:val="left"/>
      <w:pPr>
        <w:ind w:left="720" w:hanging="360"/>
      </w:pPr>
    </w:lvl>
    <w:lvl w:ilvl="1">
      <w:start w:val="1"/>
      <w:numFmt w:val="lowerRoman"/>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36398B"/>
    <w:multiLevelType w:val="multilevel"/>
    <w:tmpl w:val="85489868"/>
    <w:lvl w:ilvl="0">
      <w:start w:val="18"/>
      <w:numFmt w:val="bullet"/>
      <w:lvlText w:val="-"/>
      <w:lvlJc w:val="left"/>
      <w:pPr>
        <w:ind w:left="830" w:hanging="360"/>
      </w:pPr>
      <w:rPr>
        <w:rFonts w:hint="default"/>
      </w:rPr>
    </w:lvl>
    <w:lvl w:ilvl="1">
      <w:start w:val="1"/>
      <w:numFmt w:val="bullet"/>
      <w:lvlText w:val="o"/>
      <w:lvlJc w:val="left"/>
      <w:pPr>
        <w:ind w:left="1550" w:hanging="360"/>
      </w:pPr>
      <w:rPr>
        <w:rFonts w:ascii="Courier New" w:hAnsi="Courier New" w:cs="Courier New" w:hint="default"/>
      </w:rPr>
    </w:lvl>
    <w:lvl w:ilvl="2">
      <w:start w:val="1"/>
      <w:numFmt w:val="bullet"/>
      <w:lvlText w:val=""/>
      <w:lvlJc w:val="left"/>
      <w:pPr>
        <w:ind w:left="2270" w:hanging="360"/>
      </w:pPr>
      <w:rPr>
        <w:rFonts w:ascii="Wingdings" w:hAnsi="Wingdings" w:cs="Wingdings" w:hint="default"/>
      </w:rPr>
    </w:lvl>
    <w:lvl w:ilvl="3">
      <w:start w:val="1"/>
      <w:numFmt w:val="bullet"/>
      <w:lvlText w:val=""/>
      <w:lvlJc w:val="left"/>
      <w:pPr>
        <w:ind w:left="2990" w:hanging="360"/>
      </w:pPr>
      <w:rPr>
        <w:rFonts w:ascii="Symbol" w:hAnsi="Symbol" w:cs="Symbol" w:hint="default"/>
      </w:rPr>
    </w:lvl>
    <w:lvl w:ilvl="4">
      <w:start w:val="1"/>
      <w:numFmt w:val="bullet"/>
      <w:lvlText w:val="o"/>
      <w:lvlJc w:val="left"/>
      <w:pPr>
        <w:ind w:left="3710" w:hanging="360"/>
      </w:pPr>
      <w:rPr>
        <w:rFonts w:ascii="Courier New" w:hAnsi="Courier New" w:cs="Courier New" w:hint="default"/>
      </w:rPr>
    </w:lvl>
    <w:lvl w:ilvl="5">
      <w:start w:val="1"/>
      <w:numFmt w:val="bullet"/>
      <w:lvlText w:val=""/>
      <w:lvlJc w:val="left"/>
      <w:pPr>
        <w:ind w:left="4430" w:hanging="360"/>
      </w:pPr>
      <w:rPr>
        <w:rFonts w:ascii="Wingdings" w:hAnsi="Wingdings" w:cs="Wingdings" w:hint="default"/>
      </w:rPr>
    </w:lvl>
    <w:lvl w:ilvl="6">
      <w:start w:val="1"/>
      <w:numFmt w:val="bullet"/>
      <w:lvlText w:val=""/>
      <w:lvlJc w:val="left"/>
      <w:pPr>
        <w:ind w:left="5150" w:hanging="360"/>
      </w:pPr>
      <w:rPr>
        <w:rFonts w:ascii="Symbol" w:hAnsi="Symbol" w:cs="Symbol" w:hint="default"/>
      </w:rPr>
    </w:lvl>
    <w:lvl w:ilvl="7">
      <w:start w:val="1"/>
      <w:numFmt w:val="bullet"/>
      <w:lvlText w:val="o"/>
      <w:lvlJc w:val="left"/>
      <w:pPr>
        <w:ind w:left="5870" w:hanging="360"/>
      </w:pPr>
      <w:rPr>
        <w:rFonts w:ascii="Courier New" w:hAnsi="Courier New" w:cs="Courier New" w:hint="default"/>
      </w:rPr>
    </w:lvl>
    <w:lvl w:ilvl="8">
      <w:start w:val="1"/>
      <w:numFmt w:val="bullet"/>
      <w:lvlText w:val=""/>
      <w:lvlJc w:val="left"/>
      <w:pPr>
        <w:ind w:left="6590" w:hanging="360"/>
      </w:pPr>
      <w:rPr>
        <w:rFonts w:ascii="Wingdings" w:hAnsi="Wingdings" w:cs="Wingdings" w:hint="default"/>
      </w:rPr>
    </w:lvl>
  </w:abstractNum>
  <w:abstractNum w:abstractNumId="17" w15:restartNumberingAfterBreak="0">
    <w:nsid w:val="2A0361C3"/>
    <w:multiLevelType w:val="multilevel"/>
    <w:tmpl w:val="64B4E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873DA4"/>
    <w:multiLevelType w:val="multilevel"/>
    <w:tmpl w:val="407C44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5942B25"/>
    <w:multiLevelType w:val="multilevel"/>
    <w:tmpl w:val="D4A454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622700E"/>
    <w:multiLevelType w:val="multilevel"/>
    <w:tmpl w:val="387A2928"/>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6BD3EC6"/>
    <w:multiLevelType w:val="multilevel"/>
    <w:tmpl w:val="E9641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6E35B62"/>
    <w:multiLevelType w:val="multilevel"/>
    <w:tmpl w:val="FB580A9A"/>
    <w:lvl w:ilvl="0">
      <w:start w:val="18"/>
      <w:numFmt w:val="bullet"/>
      <w:lvlText w:val="-"/>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3" w15:restartNumberingAfterBreak="0">
    <w:nsid w:val="3779499A"/>
    <w:multiLevelType w:val="multilevel"/>
    <w:tmpl w:val="DE0E5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4A2288"/>
    <w:multiLevelType w:val="multilevel"/>
    <w:tmpl w:val="EFF2A444"/>
    <w:lvl w:ilvl="0">
      <w:start w:val="4"/>
      <w:numFmt w:val="bullet"/>
      <w:lvlText w:val="-"/>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cs="Calibri" w:hint="default"/>
        <w:color w:val="C0C0C0"/>
        <w:position w:val="2"/>
        <w:sz w:val="20"/>
        <w:szCs w:val="20"/>
      </w:rPr>
    </w:lvl>
    <w:lvl w:ilvl="1">
      <w:start w:val="1"/>
      <w:numFmt w:val="bullet"/>
      <w:pStyle w:val="ListBullet2"/>
      <w:lvlText w:val="–"/>
      <w:lvlJc w:val="left"/>
      <w:pPr>
        <w:tabs>
          <w:tab w:val="num" w:pos="340"/>
        </w:tabs>
        <w:ind w:left="340" w:hanging="170"/>
      </w:pPr>
      <w:rPr>
        <w:rFonts w:ascii="Arial" w:hAnsi="Arial" w:cs="Arial" w:hint="default"/>
        <w:color w:val="auto"/>
      </w:rPr>
    </w:lvl>
    <w:lvl w:ilvl="2">
      <w:start w:val="1"/>
      <w:numFmt w:val="bullet"/>
      <w:pStyle w:val="ListBullet3"/>
      <w:lvlText w:val="–"/>
      <w:lvlJc w:val="left"/>
      <w:pPr>
        <w:tabs>
          <w:tab w:val="num" w:pos="510"/>
        </w:tabs>
        <w:ind w:left="510" w:hanging="170"/>
      </w:pPr>
      <w:rPr>
        <w:rFonts w:ascii="Arial" w:hAnsi="Arial" w:cs="Arial" w:hint="default"/>
        <w:color w:val="auto"/>
      </w:rPr>
    </w:lvl>
    <w:lvl w:ilvl="3">
      <w:start w:val="1"/>
      <w:numFmt w:val="bullet"/>
      <w:pStyle w:val="ListBullet4"/>
      <w:lvlText w:val="–"/>
      <w:lvlJc w:val="left"/>
      <w:pPr>
        <w:tabs>
          <w:tab w:val="num" w:pos="680"/>
        </w:tabs>
        <w:ind w:left="680" w:hanging="170"/>
      </w:pPr>
      <w:rPr>
        <w:rFonts w:ascii="Circular Std Book" w:hAnsi="Circular Std Book" w:cs="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cs="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6" w15:restartNumberingAfterBreak="0">
    <w:nsid w:val="3C0E1540"/>
    <w:multiLevelType w:val="multilevel"/>
    <w:tmpl w:val="F346816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3C4303A5"/>
    <w:multiLevelType w:val="multilevel"/>
    <w:tmpl w:val="4B4E7622"/>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rPr>
        <w:rFonts w:hint="default"/>
      </w:rPr>
    </w:lvl>
    <w:lvl w:ilvl="7">
      <w:start w:val="1"/>
      <w:numFmt w:val="none"/>
      <w:lvlRestart w:val="0"/>
      <w:lvlText w:val=""/>
      <w:lvlJc w:val="left"/>
      <w:rPr>
        <w:rFonts w:hint="default"/>
      </w:rPr>
    </w:lvl>
    <w:lvl w:ilvl="8">
      <w:start w:val="1"/>
      <w:numFmt w:val="none"/>
      <w:lvlRestart w:val="0"/>
      <w:lvlText w:val=""/>
      <w:lvlJc w:val="right"/>
      <w:rPr>
        <w:rFonts w:hint="default"/>
      </w:rPr>
    </w:lvl>
  </w:abstractNum>
  <w:abstractNum w:abstractNumId="28" w15:restartNumberingAfterBreak="0">
    <w:nsid w:val="3D6518C6"/>
    <w:multiLevelType w:val="multilevel"/>
    <w:tmpl w:val="1180DE54"/>
    <w:lvl w:ilvl="0">
      <w:start w:val="18"/>
      <w:numFmt w:val="bullet"/>
      <w:lvlText w:val="-"/>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9" w15:restartNumberingAfterBreak="0">
    <w:nsid w:val="3D912ABD"/>
    <w:multiLevelType w:val="multilevel"/>
    <w:tmpl w:val="6C70834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E0E6105"/>
    <w:multiLevelType w:val="multilevel"/>
    <w:tmpl w:val="ACB88798"/>
    <w:lvl w:ilvl="0">
      <w:start w:val="4"/>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17F54C6"/>
    <w:multiLevelType w:val="multilevel"/>
    <w:tmpl w:val="E788F812"/>
    <w:lvl w:ilvl="0">
      <w:start w:val="1"/>
      <w:numFmt w:val="decimal"/>
      <w:lvlText w:val="%1."/>
      <w:lvlJc w:val="left"/>
      <w:pPr>
        <w:ind w:left="2062" w:hanging="360"/>
      </w:pPr>
    </w:lvl>
    <w:lvl w:ilvl="1">
      <w:start w:val="1"/>
      <w:numFmt w:val="lowerLetter"/>
      <w:lvlText w:val="%2."/>
      <w:lvlJc w:val="left"/>
      <w:pPr>
        <w:ind w:left="2782" w:hanging="360"/>
      </w:pPr>
    </w:lvl>
    <w:lvl w:ilvl="2">
      <w:start w:val="1"/>
      <w:numFmt w:val="lowerRoman"/>
      <w:lvlText w:val="%3."/>
      <w:lvlJc w:val="right"/>
      <w:pPr>
        <w:ind w:left="3502" w:hanging="180"/>
      </w:pPr>
    </w:lvl>
    <w:lvl w:ilvl="3">
      <w:start w:val="1"/>
      <w:numFmt w:val="decimal"/>
      <w:lvlText w:val="%4."/>
      <w:lvlJc w:val="left"/>
      <w:pPr>
        <w:ind w:left="4222" w:hanging="360"/>
      </w:pPr>
    </w:lvl>
    <w:lvl w:ilvl="4">
      <w:start w:val="1"/>
      <w:numFmt w:val="lowerLetter"/>
      <w:lvlText w:val="%5."/>
      <w:lvlJc w:val="left"/>
      <w:pPr>
        <w:ind w:left="4942" w:hanging="360"/>
      </w:pPr>
    </w:lvl>
    <w:lvl w:ilvl="5">
      <w:start w:val="1"/>
      <w:numFmt w:val="lowerRoman"/>
      <w:lvlText w:val="%6."/>
      <w:lvlJc w:val="right"/>
      <w:pPr>
        <w:ind w:left="5662" w:hanging="180"/>
      </w:pPr>
    </w:lvl>
    <w:lvl w:ilvl="6">
      <w:start w:val="1"/>
      <w:numFmt w:val="decimal"/>
      <w:lvlText w:val="%7."/>
      <w:lvlJc w:val="left"/>
      <w:pPr>
        <w:ind w:left="6382" w:hanging="360"/>
      </w:pPr>
    </w:lvl>
    <w:lvl w:ilvl="7">
      <w:start w:val="1"/>
      <w:numFmt w:val="lowerLetter"/>
      <w:lvlText w:val="%8."/>
      <w:lvlJc w:val="left"/>
      <w:pPr>
        <w:ind w:left="7102" w:hanging="360"/>
      </w:pPr>
    </w:lvl>
    <w:lvl w:ilvl="8">
      <w:start w:val="1"/>
      <w:numFmt w:val="lowerRoman"/>
      <w:lvlText w:val="%9."/>
      <w:lvlJc w:val="right"/>
      <w:pPr>
        <w:ind w:left="7822" w:hanging="180"/>
      </w:pPr>
    </w:lvl>
  </w:abstractNum>
  <w:abstractNum w:abstractNumId="32" w15:restartNumberingAfterBreak="0">
    <w:nsid w:val="4509353D"/>
    <w:multiLevelType w:val="multilevel"/>
    <w:tmpl w:val="3F8096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9E1021B"/>
    <w:multiLevelType w:val="multilevel"/>
    <w:tmpl w:val="EB526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A0A1F7C"/>
    <w:multiLevelType w:val="singleLevel"/>
    <w:tmpl w:val="28B278FA"/>
    <w:lvl w:ilvl="0">
      <w:start w:val="1"/>
      <w:numFmt w:val="bullet"/>
      <w:pStyle w:val="Bullets"/>
      <w:lvlText w:val=""/>
      <w:lvlJc w:val="left"/>
      <w:pPr>
        <w:tabs>
          <w:tab w:val="num" w:pos="360"/>
        </w:tabs>
        <w:ind w:left="360" w:hanging="360"/>
      </w:pPr>
      <w:rPr>
        <w:rFonts w:ascii="Symbol" w:hAnsi="Symbol" w:cs="Symbol" w:hint="default"/>
      </w:rPr>
    </w:lvl>
  </w:abstractNum>
  <w:abstractNum w:abstractNumId="35" w15:restartNumberingAfterBreak="0">
    <w:nsid w:val="4C3E2203"/>
    <w:multiLevelType w:val="multilevel"/>
    <w:tmpl w:val="1B8AD9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02E350A"/>
    <w:multiLevelType w:val="multilevel"/>
    <w:tmpl w:val="FE26C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0922A4F"/>
    <w:multiLevelType w:val="multilevel"/>
    <w:tmpl w:val="1478A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11A254A"/>
    <w:multiLevelType w:val="multilevel"/>
    <w:tmpl w:val="7A06C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4169F0"/>
    <w:multiLevelType w:val="multilevel"/>
    <w:tmpl w:val="BAD65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2525B9A"/>
    <w:multiLevelType w:val="multilevel"/>
    <w:tmpl w:val="E458B3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53C15EE6"/>
    <w:multiLevelType w:val="multilevel"/>
    <w:tmpl w:val="D88021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6906B1"/>
    <w:multiLevelType w:val="multilevel"/>
    <w:tmpl w:val="A7E6A162"/>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59002E00"/>
    <w:multiLevelType w:val="multilevel"/>
    <w:tmpl w:val="C3AE970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A87284C"/>
    <w:multiLevelType w:val="multilevel"/>
    <w:tmpl w:val="DDD82D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284E35"/>
    <w:multiLevelType w:val="multilevel"/>
    <w:tmpl w:val="06A2C516"/>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5C091DA0"/>
    <w:multiLevelType w:val="multilevel"/>
    <w:tmpl w:val="8878E6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C71356C"/>
    <w:multiLevelType w:val="multilevel"/>
    <w:tmpl w:val="4216BF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028193A"/>
    <w:multiLevelType w:val="multilevel"/>
    <w:tmpl w:val="078CD9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65E639C"/>
    <w:multiLevelType w:val="multilevel"/>
    <w:tmpl w:val="55F86DA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666465FF"/>
    <w:multiLevelType w:val="multilevel"/>
    <w:tmpl w:val="43FEB300"/>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763736"/>
    <w:multiLevelType w:val="multilevel"/>
    <w:tmpl w:val="A2E6F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775713"/>
    <w:multiLevelType w:val="multilevel"/>
    <w:tmpl w:val="8BD4AFE4"/>
    <w:lvl w:ilvl="0">
      <w:start w:val="18"/>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15:restartNumberingAfterBreak="0">
    <w:nsid w:val="69E26372"/>
    <w:multiLevelType w:val="singleLevel"/>
    <w:tmpl w:val="37BCA3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6A0D373C"/>
    <w:multiLevelType w:val="multilevel"/>
    <w:tmpl w:val="7924C21E"/>
    <w:lvl w:ilvl="0">
      <w:start w:val="2"/>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5" w15:restartNumberingAfterBreak="0">
    <w:nsid w:val="6B0E3AF6"/>
    <w:multiLevelType w:val="multilevel"/>
    <w:tmpl w:val="636EFB5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6B310C0E"/>
    <w:multiLevelType w:val="multilevel"/>
    <w:tmpl w:val="4AAE4E28"/>
    <w:lvl w:ilvl="0">
      <w:start w:val="18"/>
      <w:numFmt w:val="bullet"/>
      <w:lvlText w:val="-"/>
      <w:lvlJc w:val="left"/>
      <w:pPr>
        <w:ind w:left="7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B877510"/>
    <w:multiLevelType w:val="multilevel"/>
    <w:tmpl w:val="5EE26D1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6EF279CE"/>
    <w:multiLevelType w:val="multilevel"/>
    <w:tmpl w:val="3C7CE382"/>
    <w:lvl w:ilvl="0">
      <w:start w:val="18"/>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707626C1"/>
    <w:multiLevelType w:val="multilevel"/>
    <w:tmpl w:val="CB88A4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1273EA4"/>
    <w:multiLevelType w:val="multilevel"/>
    <w:tmpl w:val="C724609E"/>
    <w:lvl w:ilvl="0">
      <w:start w:val="18"/>
      <w:numFmt w:val="bullet"/>
      <w:lvlText w:val="-"/>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77042029"/>
    <w:multiLevelType w:val="multilevel"/>
    <w:tmpl w:val="DD62947A"/>
    <w:lvl w:ilvl="0">
      <w:start w:val="18"/>
      <w:numFmt w:val="bullet"/>
      <w:lvlText w:val="-"/>
      <w:lvlJc w:val="left"/>
      <w:pPr>
        <w:ind w:left="1854" w:hanging="360"/>
      </w:pPr>
      <w:rPr>
        <w:rFont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62" w15:restartNumberingAfterBreak="0">
    <w:nsid w:val="78D254A5"/>
    <w:multiLevelType w:val="multilevel"/>
    <w:tmpl w:val="12C8F32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3" w15:restartNumberingAfterBreak="0">
    <w:nsid w:val="7A37523F"/>
    <w:multiLevelType w:val="multilevel"/>
    <w:tmpl w:val="03C4B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A4F7920"/>
    <w:multiLevelType w:val="multilevel"/>
    <w:tmpl w:val="35E273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B913355"/>
    <w:multiLevelType w:val="multilevel"/>
    <w:tmpl w:val="03D446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1070CE"/>
    <w:multiLevelType w:val="multilevel"/>
    <w:tmpl w:val="990E45A8"/>
    <w:lvl w:ilvl="0">
      <w:start w:val="1"/>
      <w:numFmt w:val="bullet"/>
      <w:pStyle w:val="NoSpacing"/>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num w:numId="1">
    <w:abstractNumId w:val="34"/>
  </w:num>
  <w:num w:numId="2">
    <w:abstractNumId w:val="27"/>
  </w:num>
  <w:num w:numId="3">
    <w:abstractNumId w:val="25"/>
  </w:num>
  <w:num w:numId="4">
    <w:abstractNumId w:val="0"/>
  </w:num>
  <w:num w:numId="5">
    <w:abstractNumId w:val="41"/>
  </w:num>
  <w:num w:numId="6">
    <w:abstractNumId w:val="43"/>
  </w:num>
  <w:num w:numId="7">
    <w:abstractNumId w:val="46"/>
  </w:num>
  <w:num w:numId="8">
    <w:abstractNumId w:val="18"/>
  </w:num>
  <w:num w:numId="9">
    <w:abstractNumId w:val="1"/>
  </w:num>
  <w:num w:numId="10">
    <w:abstractNumId w:val="39"/>
  </w:num>
  <w:num w:numId="11">
    <w:abstractNumId w:val="33"/>
  </w:num>
  <w:num w:numId="12">
    <w:abstractNumId w:val="48"/>
  </w:num>
  <w:num w:numId="13">
    <w:abstractNumId w:val="44"/>
  </w:num>
  <w:num w:numId="14">
    <w:abstractNumId w:val="35"/>
  </w:num>
  <w:num w:numId="15">
    <w:abstractNumId w:val="20"/>
  </w:num>
  <w:num w:numId="16">
    <w:abstractNumId w:val="45"/>
  </w:num>
  <w:num w:numId="17">
    <w:abstractNumId w:val="42"/>
  </w:num>
  <w:num w:numId="18">
    <w:abstractNumId w:val="51"/>
  </w:num>
  <w:num w:numId="19">
    <w:abstractNumId w:val="21"/>
  </w:num>
  <w:num w:numId="20">
    <w:abstractNumId w:val="9"/>
  </w:num>
  <w:num w:numId="21">
    <w:abstractNumId w:val="54"/>
  </w:num>
  <w:num w:numId="22">
    <w:abstractNumId w:val="14"/>
  </w:num>
  <w:num w:numId="23">
    <w:abstractNumId w:val="7"/>
  </w:num>
  <w:num w:numId="24">
    <w:abstractNumId w:val="66"/>
  </w:num>
  <w:num w:numId="25">
    <w:abstractNumId w:val="37"/>
  </w:num>
  <w:num w:numId="26">
    <w:abstractNumId w:val="31"/>
  </w:num>
  <w:num w:numId="27">
    <w:abstractNumId w:val="28"/>
  </w:num>
  <w:num w:numId="28">
    <w:abstractNumId w:val="61"/>
  </w:num>
  <w:num w:numId="29">
    <w:abstractNumId w:val="30"/>
  </w:num>
  <w:num w:numId="30">
    <w:abstractNumId w:val="4"/>
  </w:num>
  <w:num w:numId="31">
    <w:abstractNumId w:val="22"/>
  </w:num>
  <w:num w:numId="32">
    <w:abstractNumId w:val="50"/>
  </w:num>
  <w:num w:numId="33">
    <w:abstractNumId w:val="15"/>
  </w:num>
  <w:num w:numId="34">
    <w:abstractNumId w:val="64"/>
  </w:num>
  <w:num w:numId="35">
    <w:abstractNumId w:val="16"/>
  </w:num>
  <w:num w:numId="36">
    <w:abstractNumId w:val="52"/>
  </w:num>
  <w:num w:numId="37">
    <w:abstractNumId w:val="8"/>
  </w:num>
  <w:num w:numId="38">
    <w:abstractNumId w:val="53"/>
  </w:num>
  <w:num w:numId="39">
    <w:abstractNumId w:val="57"/>
  </w:num>
  <w:num w:numId="40">
    <w:abstractNumId w:val="65"/>
  </w:num>
  <w:num w:numId="41">
    <w:abstractNumId w:val="60"/>
  </w:num>
  <w:num w:numId="42">
    <w:abstractNumId w:val="56"/>
  </w:num>
  <w:num w:numId="43">
    <w:abstractNumId w:val="3"/>
  </w:num>
  <w:num w:numId="44">
    <w:abstractNumId w:val="6"/>
  </w:num>
  <w:num w:numId="45">
    <w:abstractNumId w:val="59"/>
  </w:num>
  <w:num w:numId="46">
    <w:abstractNumId w:val="40"/>
  </w:num>
  <w:num w:numId="47">
    <w:abstractNumId w:val="10"/>
  </w:num>
  <w:num w:numId="48">
    <w:abstractNumId w:val="23"/>
  </w:num>
  <w:num w:numId="49">
    <w:abstractNumId w:val="38"/>
  </w:num>
  <w:num w:numId="50">
    <w:abstractNumId w:val="58"/>
  </w:num>
  <w:num w:numId="51">
    <w:abstractNumId w:val="47"/>
  </w:num>
  <w:num w:numId="52">
    <w:abstractNumId w:val="63"/>
  </w:num>
  <w:num w:numId="53">
    <w:abstractNumId w:val="17"/>
  </w:num>
  <w:num w:numId="54">
    <w:abstractNumId w:val="12"/>
  </w:num>
  <w:num w:numId="55">
    <w:abstractNumId w:val="32"/>
  </w:num>
  <w:num w:numId="56">
    <w:abstractNumId w:val="55"/>
  </w:num>
  <w:num w:numId="57">
    <w:abstractNumId w:val="26"/>
  </w:num>
  <w:num w:numId="58">
    <w:abstractNumId w:val="13"/>
  </w:num>
  <w:num w:numId="59">
    <w:abstractNumId w:val="19"/>
  </w:num>
  <w:num w:numId="60">
    <w:abstractNumId w:val="2"/>
  </w:num>
  <w:num w:numId="61">
    <w:abstractNumId w:val="36"/>
  </w:num>
  <w:num w:numId="62">
    <w:abstractNumId w:val="62"/>
  </w:num>
  <w:num w:numId="63">
    <w:abstractNumId w:val="49"/>
  </w:num>
  <w:num w:numId="64">
    <w:abstractNumId w:val="11"/>
  </w:num>
  <w:num w:numId="65">
    <w:abstractNumId w:val="24"/>
  </w:num>
  <w:num w:numId="66">
    <w:abstractNumId w:val="29"/>
  </w:num>
  <w:num w:numId="67">
    <w:abstractNumId w:val="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4FC"/>
    <w:rsid w:val="00017FA2"/>
    <w:rsid w:val="00077040"/>
    <w:rsid w:val="000B5E05"/>
    <w:rsid w:val="000D22C0"/>
    <w:rsid w:val="000D6FCB"/>
    <w:rsid w:val="00113CAB"/>
    <w:rsid w:val="00145D7E"/>
    <w:rsid w:val="00154D95"/>
    <w:rsid w:val="0015557F"/>
    <w:rsid w:val="00183A11"/>
    <w:rsid w:val="00194D9A"/>
    <w:rsid w:val="001A22EA"/>
    <w:rsid w:val="001D259B"/>
    <w:rsid w:val="001F1BA7"/>
    <w:rsid w:val="001F72ED"/>
    <w:rsid w:val="00291EB3"/>
    <w:rsid w:val="002E3E58"/>
    <w:rsid w:val="00311ACE"/>
    <w:rsid w:val="00323BB3"/>
    <w:rsid w:val="003247FA"/>
    <w:rsid w:val="003377C9"/>
    <w:rsid w:val="00354A20"/>
    <w:rsid w:val="003636C3"/>
    <w:rsid w:val="00366203"/>
    <w:rsid w:val="003F5F98"/>
    <w:rsid w:val="00425624"/>
    <w:rsid w:val="00430BDF"/>
    <w:rsid w:val="00433B20"/>
    <w:rsid w:val="0043615E"/>
    <w:rsid w:val="00442909"/>
    <w:rsid w:val="004B1023"/>
    <w:rsid w:val="004B2308"/>
    <w:rsid w:val="004B2609"/>
    <w:rsid w:val="005108E5"/>
    <w:rsid w:val="00515EE9"/>
    <w:rsid w:val="00517345"/>
    <w:rsid w:val="0054190D"/>
    <w:rsid w:val="00556BA0"/>
    <w:rsid w:val="005E754B"/>
    <w:rsid w:val="00606481"/>
    <w:rsid w:val="006829EA"/>
    <w:rsid w:val="006842AB"/>
    <w:rsid w:val="00692CCA"/>
    <w:rsid w:val="006A61CD"/>
    <w:rsid w:val="006C53A3"/>
    <w:rsid w:val="006D63E0"/>
    <w:rsid w:val="006F7AED"/>
    <w:rsid w:val="007466F0"/>
    <w:rsid w:val="00795274"/>
    <w:rsid w:val="007D0A7C"/>
    <w:rsid w:val="007E130A"/>
    <w:rsid w:val="008152A4"/>
    <w:rsid w:val="008525EE"/>
    <w:rsid w:val="00864FA3"/>
    <w:rsid w:val="00867CEE"/>
    <w:rsid w:val="008A636D"/>
    <w:rsid w:val="008C777B"/>
    <w:rsid w:val="008E1523"/>
    <w:rsid w:val="008F0933"/>
    <w:rsid w:val="00907328"/>
    <w:rsid w:val="009135F8"/>
    <w:rsid w:val="00926347"/>
    <w:rsid w:val="00936DA5"/>
    <w:rsid w:val="00944200"/>
    <w:rsid w:val="00944EEC"/>
    <w:rsid w:val="009B3A32"/>
    <w:rsid w:val="009C3693"/>
    <w:rsid w:val="00A2661E"/>
    <w:rsid w:val="00A7204E"/>
    <w:rsid w:val="00A92396"/>
    <w:rsid w:val="00A95927"/>
    <w:rsid w:val="00AC43E7"/>
    <w:rsid w:val="00AD66CC"/>
    <w:rsid w:val="00AE261C"/>
    <w:rsid w:val="00B12847"/>
    <w:rsid w:val="00B237D1"/>
    <w:rsid w:val="00B252C6"/>
    <w:rsid w:val="00B30F58"/>
    <w:rsid w:val="00B764FC"/>
    <w:rsid w:val="00B831C1"/>
    <w:rsid w:val="00BB277C"/>
    <w:rsid w:val="00BB479E"/>
    <w:rsid w:val="00BC040E"/>
    <w:rsid w:val="00BC5A02"/>
    <w:rsid w:val="00BC731D"/>
    <w:rsid w:val="00C44B7A"/>
    <w:rsid w:val="00C601EE"/>
    <w:rsid w:val="00CB1D66"/>
    <w:rsid w:val="00CF4E99"/>
    <w:rsid w:val="00D17653"/>
    <w:rsid w:val="00D369FF"/>
    <w:rsid w:val="00D45DBB"/>
    <w:rsid w:val="00D613AB"/>
    <w:rsid w:val="00DC1016"/>
    <w:rsid w:val="00DE6BF3"/>
    <w:rsid w:val="00E46895"/>
    <w:rsid w:val="00E47A45"/>
    <w:rsid w:val="00E62F41"/>
    <w:rsid w:val="00E66E63"/>
    <w:rsid w:val="00E93419"/>
    <w:rsid w:val="00EA5691"/>
    <w:rsid w:val="00EB3FE0"/>
    <w:rsid w:val="00F35123"/>
    <w:rsid w:val="00F55752"/>
    <w:rsid w:val="00F77331"/>
    <w:rsid w:val="00F7736E"/>
    <w:rsid w:val="00F9100A"/>
    <w:rsid w:val="00FC60EB"/>
    <w:rsid w:val="00FF5C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8DCB5E"/>
  <w15:docId w15:val="{B8D0725F-822A-4DD7-9409-8E0C66B10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F5CA4"/>
    <w:pPr>
      <w:autoSpaceDE w:val="0"/>
      <w:autoSpaceDN w:val="0"/>
    </w:pPr>
    <w:rPr>
      <w:rFonts w:ascii="Calibri" w:hAnsi="Calibri" w:cs="Calibri"/>
      <w:sz w:val="24"/>
      <w:szCs w:val="24"/>
      <w:lang w:val="en-AU"/>
    </w:rPr>
  </w:style>
  <w:style w:type="paragraph" w:styleId="Heading1">
    <w:name w:val="heading 1"/>
    <w:basedOn w:val="Normal"/>
    <w:next w:val="Normal"/>
    <w:link w:val="Heading1Char"/>
    <w:uiPriority w:val="99"/>
    <w:qFormat/>
    <w:rsid w:val="00FF5CA4"/>
    <w:pPr>
      <w:numPr>
        <w:numId w:val="47"/>
      </w:numPr>
      <w:spacing w:after="120"/>
      <w:outlineLvl w:val="0"/>
    </w:pPr>
    <w:rPr>
      <w:rFonts w:ascii="Circular Std Book" w:hAnsi="Circular Std Book" w:cs="Circular Std Book"/>
      <w:b/>
      <w:bCs/>
      <w:color w:val="000000"/>
      <w:sz w:val="28"/>
      <w:szCs w:val="28"/>
    </w:rPr>
  </w:style>
  <w:style w:type="paragraph" w:styleId="Heading2">
    <w:name w:val="heading 2"/>
    <w:basedOn w:val="Normal"/>
    <w:next w:val="Normal"/>
    <w:link w:val="Heading2Char"/>
    <w:uiPriority w:val="99"/>
    <w:qFormat/>
    <w:rsid w:val="00311ACE"/>
    <w:pPr>
      <w:pBdr>
        <w:bottom w:val="single" w:sz="4" w:space="1" w:color="auto"/>
      </w:pBdr>
      <w:spacing w:after="120"/>
      <w:outlineLvl w:val="1"/>
    </w:pPr>
    <w:rPr>
      <w:rFonts w:ascii="Circular Std Book" w:hAnsi="Circular Std Book" w:cs="Circular Std Book"/>
      <w:b/>
      <w:bCs/>
      <w:color w:val="002060"/>
    </w:rPr>
  </w:style>
  <w:style w:type="paragraph" w:styleId="Heading3">
    <w:name w:val="heading 3"/>
    <w:aliases w:val="(a),a"/>
    <w:basedOn w:val="Normal"/>
    <w:next w:val="Normal"/>
    <w:link w:val="Heading3Char"/>
    <w:uiPriority w:val="99"/>
    <w:qFormat/>
    <w:rsid w:val="00FF5CA4"/>
    <w:pPr>
      <w:spacing w:after="120"/>
      <w:outlineLvl w:val="2"/>
    </w:pPr>
    <w:rPr>
      <w:rFonts w:ascii="Circular Std Book" w:hAnsi="Circular Std Book" w:cs="Circular Std Book"/>
      <w:i/>
      <w:iCs/>
      <w:color w:val="000000"/>
      <w:sz w:val="22"/>
      <w:szCs w:val="22"/>
    </w:rPr>
  </w:style>
  <w:style w:type="paragraph" w:styleId="Heading4">
    <w:name w:val="heading 4"/>
    <w:aliases w:val="Proposal Heading 4,4 dash,d,3,dash,h4,h41,h42,h411,h43,h412,h44,h413,h45,h414,h46,h415,h47,h416,h421,h4111,h431,h4121,h441,h4131,h451,h4141,h461,h4151,h48,h417,h422,h4112,h432,h4122,h442,h4132,h452,h4142,h462,h4152,h49,h418,h423,h4113,h433"/>
    <w:basedOn w:val="Normal"/>
    <w:next w:val="Normal"/>
    <w:link w:val="Heading4Char"/>
    <w:uiPriority w:val="99"/>
    <w:qFormat/>
    <w:rsid w:val="00FF5CA4"/>
    <w:pPr>
      <w:keepNext/>
      <w:keepLines/>
      <w:spacing w:before="40" w:line="276" w:lineRule="auto"/>
      <w:jc w:val="both"/>
      <w:outlineLvl w:val="3"/>
    </w:pPr>
    <w:rPr>
      <w:rFonts w:ascii="Calibri Light" w:hAnsi="Calibri Light" w:cs="Calibri Light"/>
      <w:i/>
      <w:iCs/>
      <w:color w:val="008080"/>
      <w:sz w:val="22"/>
      <w:szCs w:val="22"/>
    </w:rPr>
  </w:style>
  <w:style w:type="paragraph" w:styleId="Heading5">
    <w:name w:val="heading 5"/>
    <w:aliases w:val="h5,Heading 5(unused)"/>
    <w:basedOn w:val="Normal"/>
    <w:next w:val="Normal"/>
    <w:link w:val="Heading5Char"/>
    <w:uiPriority w:val="99"/>
    <w:qFormat/>
    <w:rsid w:val="00FF5CA4"/>
    <w:pPr>
      <w:spacing w:before="120" w:line="276" w:lineRule="auto"/>
      <w:jc w:val="right"/>
      <w:outlineLvl w:val="4"/>
    </w:pPr>
    <w:rPr>
      <w:i/>
      <w:iCs/>
      <w:sz w:val="22"/>
      <w:szCs w:val="22"/>
    </w:rPr>
  </w:style>
  <w:style w:type="paragraph" w:styleId="Heading6">
    <w:name w:val="heading 6"/>
    <w:basedOn w:val="Normal"/>
    <w:next w:val="Normal"/>
    <w:link w:val="Heading6Char"/>
    <w:autoRedefine/>
    <w:uiPriority w:val="99"/>
    <w:qFormat/>
    <w:rsid w:val="00FF5CA4"/>
    <w:pPr>
      <w:keepNext/>
      <w:spacing w:before="120" w:after="240" w:line="276" w:lineRule="auto"/>
      <w:outlineLvl w:val="5"/>
    </w:pPr>
    <w:rPr>
      <w:b/>
      <w:bCs/>
      <w:i/>
      <w:iCs/>
      <w:sz w:val="22"/>
      <w:szCs w:val="22"/>
      <w:lang w:val="en-US"/>
    </w:rPr>
  </w:style>
  <w:style w:type="paragraph" w:styleId="Heading7">
    <w:name w:val="heading 7"/>
    <w:basedOn w:val="Normal"/>
    <w:next w:val="Normal"/>
    <w:link w:val="Heading7Char"/>
    <w:uiPriority w:val="99"/>
    <w:qFormat/>
    <w:rsid w:val="00FF5CA4"/>
    <w:pPr>
      <w:keepNext/>
      <w:keepLines/>
      <w:spacing w:before="40"/>
      <w:outlineLvl w:val="6"/>
    </w:pPr>
    <w:rPr>
      <w:rFonts w:ascii="Calibri Light" w:hAnsi="Calibri Light" w:cs="Calibri Light"/>
      <w:i/>
      <w:i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F5CA4"/>
    <w:rPr>
      <w:rFonts w:ascii="Circular Std Book" w:hAnsi="Circular Std Book" w:cs="Circular Std Book"/>
      <w:b/>
      <w:bCs/>
      <w:color w:val="000000"/>
      <w:sz w:val="28"/>
      <w:szCs w:val="28"/>
      <w:lang w:val="en-AU"/>
    </w:rPr>
  </w:style>
  <w:style w:type="character" w:customStyle="1" w:styleId="Heading2Char">
    <w:name w:val="Heading 2 Char"/>
    <w:basedOn w:val="DefaultParagraphFont"/>
    <w:link w:val="Heading2"/>
    <w:uiPriority w:val="99"/>
    <w:rsid w:val="00311ACE"/>
    <w:rPr>
      <w:rFonts w:ascii="Circular Std Book" w:hAnsi="Circular Std Book" w:cs="Circular Std Book"/>
      <w:b/>
      <w:bCs/>
      <w:color w:val="002060"/>
      <w:sz w:val="24"/>
      <w:szCs w:val="24"/>
      <w:lang w:val="en-AU"/>
    </w:rPr>
  </w:style>
  <w:style w:type="character" w:customStyle="1" w:styleId="Heading3Char">
    <w:name w:val="Heading 3 Char"/>
    <w:aliases w:val="(a) Char,a Char"/>
    <w:basedOn w:val="DefaultParagraphFont"/>
    <w:link w:val="Heading3"/>
    <w:uiPriority w:val="99"/>
    <w:rsid w:val="00FF5CA4"/>
    <w:rPr>
      <w:rFonts w:ascii="Circular Std Book" w:hAnsi="Circular Std Book" w:cs="Circular Std Book"/>
      <w:i/>
      <w:iCs/>
      <w:color w:val="000000"/>
      <w:sz w:val="22"/>
      <w:szCs w:val="22"/>
    </w:rPr>
  </w:style>
  <w:style w:type="character" w:customStyle="1" w:styleId="Heading4Char">
    <w:name w:val="Heading 4 Char"/>
    <w:aliases w:val="Proposal Heading 4 Char,4 dash Char,d Char,3 Char,dash Char,h4 Char,h41 Char,h42 Char,h411 Char,h43 Char,h412 Char,h44 Char,h413 Char,h45 Char,h414 Char,h46 Char,h415 Char,h47 Char,h416 Char,h421 Char,h4111 Char,h431 Char,h4121 Char"/>
    <w:basedOn w:val="DefaultParagraphFont"/>
    <w:link w:val="Heading4"/>
    <w:uiPriority w:val="99"/>
    <w:rsid w:val="00FF5CA4"/>
    <w:rPr>
      <w:rFonts w:ascii="Calibri Light" w:hAnsi="Calibri Light" w:cs="Calibri Light"/>
      <w:i/>
      <w:iCs/>
      <w:color w:val="008080"/>
      <w:sz w:val="22"/>
      <w:szCs w:val="22"/>
    </w:rPr>
  </w:style>
  <w:style w:type="character" w:customStyle="1" w:styleId="Heading5Char">
    <w:name w:val="Heading 5 Char"/>
    <w:aliases w:val="h5 Char,Heading 5(unused) Char"/>
    <w:basedOn w:val="DefaultParagraphFont"/>
    <w:link w:val="Heading5"/>
    <w:uiPriority w:val="99"/>
    <w:rsid w:val="00FF5CA4"/>
    <w:rPr>
      <w:rFonts w:ascii="Calibri" w:hAnsi="Calibri" w:cs="Calibri"/>
      <w:i/>
      <w:iCs/>
      <w:sz w:val="20"/>
      <w:szCs w:val="20"/>
    </w:rPr>
  </w:style>
  <w:style w:type="character" w:customStyle="1" w:styleId="Heading6Char">
    <w:name w:val="Heading 6 Char"/>
    <w:basedOn w:val="DefaultParagraphFont"/>
    <w:link w:val="Heading6"/>
    <w:uiPriority w:val="99"/>
    <w:rsid w:val="00FF5CA4"/>
    <w:rPr>
      <w:rFonts w:ascii="Calibri" w:hAnsi="Calibri" w:cs="Calibri"/>
      <w:b/>
      <w:bCs/>
      <w:i/>
      <w:iCs/>
      <w:sz w:val="20"/>
      <w:szCs w:val="20"/>
      <w:lang w:val="en-US"/>
    </w:rPr>
  </w:style>
  <w:style w:type="character" w:customStyle="1" w:styleId="Heading7Char">
    <w:name w:val="Heading 7 Char"/>
    <w:basedOn w:val="DefaultParagraphFont"/>
    <w:link w:val="Heading7"/>
    <w:uiPriority w:val="99"/>
    <w:rsid w:val="00FF5CA4"/>
    <w:rPr>
      <w:rFonts w:ascii="Calibri Light" w:hAnsi="Calibri Light" w:cs="Calibri Light"/>
      <w:i/>
      <w:iCs/>
      <w:color w:val="000080"/>
    </w:rPr>
  </w:style>
  <w:style w:type="paragraph" w:styleId="Header">
    <w:name w:val="header"/>
    <w:basedOn w:val="Normal"/>
    <w:link w:val="HeaderChar"/>
    <w:uiPriority w:val="99"/>
    <w:rsid w:val="00FF5CA4"/>
    <w:pPr>
      <w:tabs>
        <w:tab w:val="center" w:pos="4680"/>
        <w:tab w:val="right" w:pos="9360"/>
      </w:tabs>
    </w:pPr>
  </w:style>
  <w:style w:type="character" w:customStyle="1" w:styleId="HeaderChar">
    <w:name w:val="Header Char"/>
    <w:basedOn w:val="DefaultParagraphFont"/>
    <w:link w:val="Header"/>
    <w:uiPriority w:val="99"/>
    <w:rsid w:val="00FF5CA4"/>
  </w:style>
  <w:style w:type="paragraph" w:styleId="Footer">
    <w:name w:val="footer"/>
    <w:basedOn w:val="Normal"/>
    <w:link w:val="FooterChar"/>
    <w:uiPriority w:val="99"/>
    <w:rsid w:val="00FF5CA4"/>
    <w:pPr>
      <w:tabs>
        <w:tab w:val="center" w:pos="4680"/>
        <w:tab w:val="right" w:pos="9360"/>
      </w:tabs>
    </w:pPr>
  </w:style>
  <w:style w:type="character" w:customStyle="1" w:styleId="FooterChar">
    <w:name w:val="Footer Char"/>
    <w:basedOn w:val="DefaultParagraphFont"/>
    <w:link w:val="Footer"/>
    <w:uiPriority w:val="99"/>
    <w:rsid w:val="00FF5CA4"/>
  </w:style>
  <w:style w:type="character" w:styleId="PageNumber">
    <w:name w:val="page number"/>
    <w:basedOn w:val="DefaultParagraphFont"/>
    <w:uiPriority w:val="99"/>
    <w:rsid w:val="00FF5CA4"/>
  </w:style>
  <w:style w:type="paragraph" w:styleId="ListParagraph">
    <w:name w:val="List Paragraph"/>
    <w:basedOn w:val="Normal"/>
    <w:uiPriority w:val="99"/>
    <w:qFormat/>
    <w:rsid w:val="00FF5CA4"/>
    <w:pPr>
      <w:ind w:left="720"/>
    </w:pPr>
  </w:style>
  <w:style w:type="paragraph" w:styleId="BalloonText">
    <w:name w:val="Balloon Text"/>
    <w:basedOn w:val="Normal"/>
    <w:link w:val="BalloonTextChar"/>
    <w:uiPriority w:val="99"/>
    <w:rsid w:val="00FF5CA4"/>
    <w:rPr>
      <w:rFonts w:cstheme="minorBidi"/>
      <w:sz w:val="18"/>
      <w:szCs w:val="18"/>
    </w:rPr>
  </w:style>
  <w:style w:type="character" w:customStyle="1" w:styleId="BalloonTextChar">
    <w:name w:val="Balloon Text Char"/>
    <w:basedOn w:val="DefaultParagraphFont"/>
    <w:link w:val="BalloonText"/>
    <w:uiPriority w:val="99"/>
    <w:rsid w:val="00FF5CA4"/>
    <w:rPr>
      <w:rFonts w:ascii="Times New Roman" w:hAnsi="Times New Roman" w:cs="Times New Roman"/>
      <w:sz w:val="18"/>
      <w:szCs w:val="18"/>
    </w:rPr>
  </w:style>
  <w:style w:type="paragraph" w:styleId="TOC1">
    <w:name w:val="toc 1"/>
    <w:basedOn w:val="Normal"/>
    <w:next w:val="Normal"/>
    <w:autoRedefine/>
    <w:uiPriority w:val="39"/>
    <w:rsid w:val="00194D9A"/>
    <w:pPr>
      <w:tabs>
        <w:tab w:val="left" w:pos="480"/>
        <w:tab w:val="right" w:leader="dot" w:pos="9204"/>
      </w:tabs>
      <w:spacing w:before="120" w:after="120"/>
    </w:pPr>
    <w:rPr>
      <w:b/>
      <w:bCs/>
      <w:caps/>
      <w:color w:val="002060"/>
    </w:rPr>
  </w:style>
  <w:style w:type="paragraph" w:styleId="TOC2">
    <w:name w:val="toc 2"/>
    <w:basedOn w:val="Normal"/>
    <w:next w:val="Normal"/>
    <w:autoRedefine/>
    <w:uiPriority w:val="39"/>
    <w:rsid w:val="00FF5CA4"/>
    <w:pPr>
      <w:ind w:left="240"/>
    </w:pPr>
    <w:rPr>
      <w:smallCaps/>
      <w:sz w:val="20"/>
      <w:szCs w:val="20"/>
    </w:rPr>
  </w:style>
  <w:style w:type="paragraph" w:styleId="TOC3">
    <w:name w:val="toc 3"/>
    <w:basedOn w:val="Normal"/>
    <w:next w:val="Normal"/>
    <w:autoRedefine/>
    <w:uiPriority w:val="99"/>
    <w:rsid w:val="00FF5CA4"/>
    <w:pPr>
      <w:ind w:left="480"/>
    </w:pPr>
    <w:rPr>
      <w:i/>
      <w:iCs/>
      <w:sz w:val="20"/>
      <w:szCs w:val="20"/>
    </w:rPr>
  </w:style>
  <w:style w:type="paragraph" w:styleId="TOC4">
    <w:name w:val="toc 4"/>
    <w:basedOn w:val="Normal"/>
    <w:next w:val="Normal"/>
    <w:autoRedefine/>
    <w:uiPriority w:val="99"/>
    <w:rsid w:val="00FF5CA4"/>
    <w:pPr>
      <w:ind w:left="720"/>
    </w:pPr>
    <w:rPr>
      <w:sz w:val="18"/>
      <w:szCs w:val="18"/>
    </w:rPr>
  </w:style>
  <w:style w:type="paragraph" w:styleId="TOC5">
    <w:name w:val="toc 5"/>
    <w:basedOn w:val="Normal"/>
    <w:next w:val="Normal"/>
    <w:autoRedefine/>
    <w:uiPriority w:val="99"/>
    <w:rsid w:val="00FF5CA4"/>
    <w:pPr>
      <w:ind w:left="960"/>
    </w:pPr>
    <w:rPr>
      <w:sz w:val="18"/>
      <w:szCs w:val="18"/>
    </w:rPr>
  </w:style>
  <w:style w:type="paragraph" w:styleId="TOC6">
    <w:name w:val="toc 6"/>
    <w:basedOn w:val="Normal"/>
    <w:next w:val="Normal"/>
    <w:autoRedefine/>
    <w:uiPriority w:val="99"/>
    <w:rsid w:val="00FF5CA4"/>
    <w:pPr>
      <w:ind w:left="1200"/>
    </w:pPr>
    <w:rPr>
      <w:sz w:val="18"/>
      <w:szCs w:val="18"/>
    </w:rPr>
  </w:style>
  <w:style w:type="paragraph" w:styleId="TOC7">
    <w:name w:val="toc 7"/>
    <w:basedOn w:val="Normal"/>
    <w:next w:val="Normal"/>
    <w:autoRedefine/>
    <w:uiPriority w:val="99"/>
    <w:rsid w:val="00FF5CA4"/>
    <w:pPr>
      <w:ind w:left="1440"/>
    </w:pPr>
    <w:rPr>
      <w:sz w:val="18"/>
      <w:szCs w:val="18"/>
    </w:rPr>
  </w:style>
  <w:style w:type="paragraph" w:styleId="TOC8">
    <w:name w:val="toc 8"/>
    <w:basedOn w:val="Normal"/>
    <w:next w:val="Normal"/>
    <w:autoRedefine/>
    <w:uiPriority w:val="99"/>
    <w:rsid w:val="00FF5CA4"/>
    <w:pPr>
      <w:ind w:left="1680"/>
    </w:pPr>
    <w:rPr>
      <w:sz w:val="18"/>
      <w:szCs w:val="18"/>
    </w:rPr>
  </w:style>
  <w:style w:type="paragraph" w:styleId="TOC9">
    <w:name w:val="toc 9"/>
    <w:basedOn w:val="Normal"/>
    <w:next w:val="Normal"/>
    <w:autoRedefine/>
    <w:uiPriority w:val="99"/>
    <w:rsid w:val="00FF5CA4"/>
    <w:pPr>
      <w:ind w:left="1920"/>
    </w:pPr>
    <w:rPr>
      <w:sz w:val="18"/>
      <w:szCs w:val="18"/>
    </w:rPr>
  </w:style>
  <w:style w:type="paragraph" w:styleId="TOCHeading">
    <w:name w:val="TOC Heading"/>
    <w:basedOn w:val="Heading1"/>
    <w:next w:val="Normal"/>
    <w:uiPriority w:val="99"/>
    <w:qFormat/>
    <w:rsid w:val="00FF5CA4"/>
    <w:pPr>
      <w:keepNext/>
      <w:keepLines/>
      <w:spacing w:before="480" w:after="0" w:line="276" w:lineRule="auto"/>
      <w:outlineLvl w:val="9"/>
    </w:pPr>
    <w:rPr>
      <w:rFonts w:ascii="Calibri Light" w:hAnsi="Calibri Light" w:cs="Calibri Light"/>
      <w:color w:val="008080"/>
      <w:lang w:val="en-US"/>
    </w:rPr>
  </w:style>
  <w:style w:type="character" w:styleId="Hyperlink">
    <w:name w:val="Hyperlink"/>
    <w:basedOn w:val="DefaultParagraphFont"/>
    <w:uiPriority w:val="99"/>
    <w:rsid w:val="00FF5CA4"/>
    <w:rPr>
      <w:color w:val="008080"/>
      <w:u w:val="single"/>
    </w:rPr>
  </w:style>
  <w:style w:type="paragraph" w:styleId="Caption">
    <w:name w:val="caption"/>
    <w:aliases w:val="Capire - Caption"/>
    <w:basedOn w:val="Normal"/>
    <w:next w:val="Normal"/>
    <w:uiPriority w:val="99"/>
    <w:qFormat/>
    <w:rsid w:val="00FF5CA4"/>
    <w:pPr>
      <w:spacing w:after="200"/>
    </w:pPr>
    <w:rPr>
      <w:color w:val="808080"/>
      <w:sz w:val="20"/>
      <w:szCs w:val="20"/>
    </w:rPr>
  </w:style>
  <w:style w:type="paragraph" w:styleId="TableofFigures">
    <w:name w:val="table of figures"/>
    <w:basedOn w:val="Normal"/>
    <w:next w:val="Normal"/>
    <w:uiPriority w:val="99"/>
    <w:rsid w:val="00FF5CA4"/>
    <w:pPr>
      <w:spacing w:line="360" w:lineRule="auto"/>
      <w:jc w:val="both"/>
    </w:pPr>
    <w:rPr>
      <w:rFonts w:ascii="Verdana" w:hAnsi="Verdana" w:cs="Verdana"/>
      <w:sz w:val="18"/>
      <w:szCs w:val="18"/>
    </w:rPr>
  </w:style>
  <w:style w:type="character" w:customStyle="1" w:styleId="ListParagraphChar">
    <w:name w:val="List Paragraph Char"/>
    <w:basedOn w:val="DefaultParagraphFont"/>
    <w:uiPriority w:val="99"/>
    <w:rsid w:val="00FF5CA4"/>
  </w:style>
  <w:style w:type="paragraph" w:styleId="BodyText">
    <w:name w:val="Body Text"/>
    <w:basedOn w:val="Normal"/>
    <w:link w:val="BodyTextChar"/>
    <w:uiPriority w:val="99"/>
    <w:rsid w:val="00FF5CA4"/>
    <w:pPr>
      <w:widowControl w:val="0"/>
    </w:pPr>
    <w:rPr>
      <w:rFonts w:ascii="Avenir LT Std 65 Medium" w:hAnsi="Avenir LT Std 65 Medium" w:cs="Avenir LT Std 65 Medium"/>
      <w:sz w:val="20"/>
      <w:szCs w:val="20"/>
    </w:rPr>
  </w:style>
  <w:style w:type="character" w:customStyle="1" w:styleId="BodyTextChar">
    <w:name w:val="Body Text Char"/>
    <w:basedOn w:val="DefaultParagraphFont"/>
    <w:link w:val="BodyText"/>
    <w:uiPriority w:val="99"/>
    <w:rsid w:val="00FF5CA4"/>
    <w:rPr>
      <w:rFonts w:ascii="Avenir LT Std 65 Medium" w:hAnsi="Avenir LT Std 65 Medium" w:cs="Avenir LT Std 65 Medium"/>
      <w:sz w:val="20"/>
      <w:szCs w:val="20"/>
    </w:rPr>
  </w:style>
  <w:style w:type="character" w:styleId="Emphasis">
    <w:name w:val="Emphasis"/>
    <w:aliases w:val="Footnote"/>
    <w:basedOn w:val="DefaultParagraphFont"/>
    <w:uiPriority w:val="99"/>
    <w:qFormat/>
    <w:rsid w:val="00FF5CA4"/>
    <w:rPr>
      <w:sz w:val="22"/>
      <w:szCs w:val="22"/>
    </w:rPr>
  </w:style>
  <w:style w:type="paragraph" w:customStyle="1" w:styleId="Normalnumbered">
    <w:name w:val="Normal numbered"/>
    <w:basedOn w:val="Normal"/>
    <w:uiPriority w:val="99"/>
    <w:rsid w:val="00FF5CA4"/>
    <w:pPr>
      <w:tabs>
        <w:tab w:val="num" w:pos="360"/>
      </w:tabs>
      <w:spacing w:after="240" w:line="260" w:lineRule="exact"/>
      <w:ind w:left="360" w:hanging="360"/>
      <w:jc w:val="both"/>
    </w:pPr>
    <w:rPr>
      <w:rFonts w:ascii="Corbel" w:hAnsi="Corbel" w:cs="Corbel"/>
      <w:color w:val="000000"/>
      <w:sz w:val="23"/>
      <w:szCs w:val="23"/>
      <w:lang w:val="en-US"/>
    </w:rPr>
  </w:style>
  <w:style w:type="character" w:customStyle="1" w:styleId="NormalnumberedChar">
    <w:name w:val="Normal numbered Char"/>
    <w:uiPriority w:val="99"/>
    <w:rsid w:val="00FF5CA4"/>
    <w:rPr>
      <w:rFonts w:ascii="Corbel" w:hAnsi="Corbel" w:cs="Corbel"/>
      <w:color w:val="000000"/>
      <w:sz w:val="20"/>
      <w:szCs w:val="20"/>
    </w:rPr>
  </w:style>
  <w:style w:type="paragraph" w:styleId="FootnoteText">
    <w:name w:val="footnote text"/>
    <w:basedOn w:val="Normal"/>
    <w:link w:val="FootnoteTextChar"/>
    <w:uiPriority w:val="99"/>
    <w:rsid w:val="00FF5CA4"/>
    <w:pPr>
      <w:tabs>
        <w:tab w:val="left" w:pos="284"/>
      </w:tabs>
      <w:ind w:left="284" w:hanging="284"/>
      <w:jc w:val="both"/>
    </w:pPr>
    <w:rPr>
      <w:rFonts w:ascii="Corbel" w:hAnsi="Corbel" w:cs="Corbel"/>
      <w:color w:val="000000"/>
      <w:sz w:val="18"/>
      <w:szCs w:val="18"/>
    </w:rPr>
  </w:style>
  <w:style w:type="character" w:customStyle="1" w:styleId="FootnoteTextChar">
    <w:name w:val="Footnote Text Char"/>
    <w:basedOn w:val="DefaultParagraphFont"/>
    <w:link w:val="FootnoteText"/>
    <w:uiPriority w:val="99"/>
    <w:rsid w:val="00FF5CA4"/>
    <w:rPr>
      <w:rFonts w:ascii="Corbel" w:hAnsi="Corbel" w:cs="Corbel"/>
      <w:color w:val="000000"/>
      <w:sz w:val="20"/>
      <w:szCs w:val="20"/>
    </w:rPr>
  </w:style>
  <w:style w:type="character" w:styleId="FootnoteReference">
    <w:name w:val="footnote reference"/>
    <w:basedOn w:val="DefaultParagraphFont"/>
    <w:uiPriority w:val="99"/>
    <w:rsid w:val="00FF5CA4"/>
    <w:rPr>
      <w:vertAlign w:val="superscript"/>
    </w:rPr>
  </w:style>
  <w:style w:type="paragraph" w:customStyle="1" w:styleId="Bullets">
    <w:name w:val="Bullets"/>
    <w:basedOn w:val="Normal"/>
    <w:uiPriority w:val="99"/>
    <w:rsid w:val="00FF5CA4"/>
    <w:pPr>
      <w:numPr>
        <w:numId w:val="1"/>
      </w:numPr>
      <w:spacing w:before="60"/>
      <w:jc w:val="both"/>
    </w:pPr>
    <w:rPr>
      <w:spacing w:val="6"/>
    </w:rPr>
  </w:style>
  <w:style w:type="paragraph" w:customStyle="1" w:styleId="DHHSbody">
    <w:name w:val="DHHS body"/>
    <w:uiPriority w:val="99"/>
    <w:rsid w:val="00FF5CA4"/>
    <w:pPr>
      <w:autoSpaceDE w:val="0"/>
      <w:autoSpaceDN w:val="0"/>
      <w:spacing w:after="120" w:line="270" w:lineRule="atLeast"/>
    </w:pPr>
    <w:rPr>
      <w:rFonts w:ascii="Arial" w:hAnsi="Arial" w:cs="Arial"/>
      <w:sz w:val="20"/>
      <w:szCs w:val="20"/>
      <w:lang w:val="en-AU"/>
    </w:rPr>
  </w:style>
  <w:style w:type="paragraph" w:customStyle="1" w:styleId="DHHSnumberdigit">
    <w:name w:val="DHHS number digit"/>
    <w:basedOn w:val="DHHSbody"/>
    <w:uiPriority w:val="99"/>
    <w:rsid w:val="00FF5CA4"/>
    <w:pPr>
      <w:numPr>
        <w:numId w:val="2"/>
      </w:numPr>
    </w:pPr>
  </w:style>
  <w:style w:type="paragraph" w:customStyle="1" w:styleId="DHHSnumberloweralphaindent">
    <w:name w:val="DHHS number lower alpha indent"/>
    <w:basedOn w:val="DHHSbody"/>
    <w:uiPriority w:val="99"/>
    <w:rsid w:val="00FF5CA4"/>
    <w:pPr>
      <w:numPr>
        <w:ilvl w:val="3"/>
        <w:numId w:val="2"/>
      </w:numPr>
    </w:pPr>
  </w:style>
  <w:style w:type="paragraph" w:customStyle="1" w:styleId="DHHSnumberdigitindent">
    <w:name w:val="DHHS number digit indent"/>
    <w:basedOn w:val="DHHSnumberloweralphaindent"/>
    <w:uiPriority w:val="99"/>
    <w:rsid w:val="00FF5CA4"/>
    <w:pPr>
      <w:numPr>
        <w:ilvl w:val="1"/>
      </w:numPr>
    </w:pPr>
  </w:style>
  <w:style w:type="paragraph" w:customStyle="1" w:styleId="DHHSnumberloweralpha">
    <w:name w:val="DHHS number lower alpha"/>
    <w:basedOn w:val="DHHSbody"/>
    <w:uiPriority w:val="99"/>
    <w:rsid w:val="00FF5CA4"/>
    <w:pPr>
      <w:numPr>
        <w:ilvl w:val="2"/>
        <w:numId w:val="2"/>
      </w:numPr>
    </w:pPr>
  </w:style>
  <w:style w:type="paragraph" w:customStyle="1" w:styleId="DHHSnumberlowerroman">
    <w:name w:val="DHHS number lower roman"/>
    <w:basedOn w:val="DHHSbody"/>
    <w:uiPriority w:val="99"/>
    <w:rsid w:val="00FF5CA4"/>
    <w:pPr>
      <w:numPr>
        <w:ilvl w:val="4"/>
        <w:numId w:val="2"/>
      </w:numPr>
    </w:pPr>
  </w:style>
  <w:style w:type="paragraph" w:customStyle="1" w:styleId="DHHSnumberlowerromanindent">
    <w:name w:val="DHHS number lower roman indent"/>
    <w:basedOn w:val="DHHSbody"/>
    <w:uiPriority w:val="99"/>
    <w:rsid w:val="00FF5CA4"/>
    <w:pPr>
      <w:numPr>
        <w:ilvl w:val="5"/>
        <w:numId w:val="2"/>
      </w:numPr>
    </w:pPr>
  </w:style>
  <w:style w:type="paragraph" w:customStyle="1" w:styleId="DHHSquote">
    <w:name w:val="DHHS quote"/>
    <w:basedOn w:val="DHHSbody"/>
    <w:uiPriority w:val="99"/>
    <w:rsid w:val="00FF5CA4"/>
    <w:pPr>
      <w:ind w:left="397"/>
    </w:pPr>
  </w:style>
  <w:style w:type="paragraph" w:styleId="NormalWeb">
    <w:name w:val="Normal (Web)"/>
    <w:basedOn w:val="Normal"/>
    <w:uiPriority w:val="99"/>
    <w:rsid w:val="00FF5CA4"/>
    <w:pPr>
      <w:spacing w:before="100" w:after="100"/>
    </w:pPr>
    <w:rPr>
      <w:rFonts w:cstheme="minorBidi"/>
    </w:rPr>
  </w:style>
  <w:style w:type="paragraph" w:styleId="ListBullet">
    <w:name w:val="List Bullet"/>
    <w:basedOn w:val="BodyText"/>
    <w:autoRedefine/>
    <w:uiPriority w:val="99"/>
    <w:rsid w:val="00FF5CA4"/>
    <w:pPr>
      <w:widowControl/>
      <w:numPr>
        <w:numId w:val="3"/>
      </w:numPr>
      <w:spacing w:before="110" w:after="110" w:line="270" w:lineRule="atLeast"/>
    </w:pPr>
    <w:rPr>
      <w:rFonts w:ascii="Arial" w:hAnsi="Arial" w:cs="Arial"/>
      <w:spacing w:val="2"/>
      <w:sz w:val="19"/>
      <w:szCs w:val="19"/>
    </w:rPr>
  </w:style>
  <w:style w:type="paragraph" w:styleId="ListBullet2">
    <w:name w:val="List Bullet 2"/>
    <w:basedOn w:val="ListBullet"/>
    <w:autoRedefine/>
    <w:uiPriority w:val="99"/>
    <w:rsid w:val="00FF5CA4"/>
    <w:pPr>
      <w:numPr>
        <w:ilvl w:val="1"/>
      </w:numPr>
      <w:tabs>
        <w:tab w:val="num" w:pos="926"/>
      </w:tabs>
      <w:ind w:hanging="360"/>
    </w:pPr>
  </w:style>
  <w:style w:type="paragraph" w:styleId="ListBullet3">
    <w:name w:val="List Bullet 3"/>
    <w:basedOn w:val="ListBullet2"/>
    <w:autoRedefine/>
    <w:uiPriority w:val="99"/>
    <w:rsid w:val="00FF5CA4"/>
    <w:pPr>
      <w:numPr>
        <w:ilvl w:val="2"/>
      </w:numPr>
      <w:ind w:hanging="360"/>
    </w:pPr>
  </w:style>
  <w:style w:type="paragraph" w:styleId="ListBullet4">
    <w:name w:val="List Bullet 4"/>
    <w:basedOn w:val="Normal"/>
    <w:autoRedefine/>
    <w:uiPriority w:val="99"/>
    <w:rsid w:val="00FF5CA4"/>
    <w:pPr>
      <w:numPr>
        <w:ilvl w:val="3"/>
        <w:numId w:val="3"/>
      </w:numPr>
      <w:spacing w:line="270" w:lineRule="atLeast"/>
    </w:pPr>
    <w:rPr>
      <w:rFonts w:ascii="Arial" w:hAnsi="Arial" w:cs="Arial"/>
      <w:spacing w:val="2"/>
      <w:sz w:val="19"/>
      <w:szCs w:val="19"/>
    </w:rPr>
  </w:style>
  <w:style w:type="paragraph" w:styleId="ListBullet5">
    <w:name w:val="List Bullet 5"/>
    <w:basedOn w:val="Normal"/>
    <w:autoRedefine/>
    <w:uiPriority w:val="99"/>
    <w:rsid w:val="00FF5CA4"/>
    <w:pPr>
      <w:numPr>
        <w:ilvl w:val="4"/>
        <w:numId w:val="3"/>
      </w:numPr>
      <w:spacing w:line="270" w:lineRule="atLeast"/>
    </w:pPr>
    <w:rPr>
      <w:rFonts w:ascii="Arial" w:hAnsi="Arial" w:cs="Arial"/>
      <w:spacing w:val="2"/>
      <w:sz w:val="19"/>
      <w:szCs w:val="19"/>
    </w:rPr>
  </w:style>
  <w:style w:type="paragraph" w:customStyle="1" w:styleId="BodyText1">
    <w:name w:val="Body Text1"/>
    <w:basedOn w:val="Normal"/>
    <w:uiPriority w:val="99"/>
    <w:rsid w:val="00FF5CA4"/>
    <w:rPr>
      <w:rFonts w:ascii="Verdana" w:hAnsi="Verdana" w:cs="Verdana"/>
      <w:color w:val="000000"/>
      <w:sz w:val="22"/>
      <w:szCs w:val="22"/>
      <w:lang w:val="en-GB"/>
    </w:rPr>
  </w:style>
  <w:style w:type="character" w:customStyle="1" w:styleId="BodyText1Char">
    <w:name w:val="Body Text1 Char"/>
    <w:basedOn w:val="DefaultParagraphFont"/>
    <w:uiPriority w:val="99"/>
    <w:rsid w:val="00FF5CA4"/>
    <w:rPr>
      <w:rFonts w:ascii="Verdana" w:hAnsi="Verdana" w:cs="Verdana"/>
      <w:color w:val="000000"/>
      <w:sz w:val="22"/>
      <w:szCs w:val="22"/>
      <w:lang w:val="en-GB"/>
    </w:rPr>
  </w:style>
  <w:style w:type="paragraph" w:styleId="Title">
    <w:name w:val="Title"/>
    <w:basedOn w:val="Normal"/>
    <w:next w:val="Normal"/>
    <w:link w:val="TitleChar"/>
    <w:uiPriority w:val="99"/>
    <w:qFormat/>
    <w:rsid w:val="00FF5CA4"/>
    <w:pPr>
      <w:pBdr>
        <w:bottom w:val="single" w:sz="8" w:space="4" w:color="808080"/>
      </w:pBdr>
      <w:spacing w:after="300"/>
    </w:pPr>
    <w:rPr>
      <w:rFonts w:ascii="Calibri Light" w:hAnsi="Calibri Light" w:cs="Calibri Light"/>
      <w:color w:val="000080"/>
      <w:spacing w:val="5"/>
      <w:kern w:val="28"/>
      <w:sz w:val="52"/>
      <w:szCs w:val="52"/>
    </w:rPr>
  </w:style>
  <w:style w:type="character" w:customStyle="1" w:styleId="TitleChar">
    <w:name w:val="Title Char"/>
    <w:basedOn w:val="DefaultParagraphFont"/>
    <w:link w:val="Title"/>
    <w:uiPriority w:val="99"/>
    <w:rsid w:val="00FF5CA4"/>
    <w:rPr>
      <w:rFonts w:ascii="Calibri Light" w:hAnsi="Calibri Light" w:cs="Calibri Light"/>
      <w:color w:val="000080"/>
      <w:spacing w:val="5"/>
      <w:kern w:val="28"/>
      <w:sz w:val="52"/>
      <w:szCs w:val="52"/>
    </w:rPr>
  </w:style>
  <w:style w:type="character" w:styleId="CommentReference">
    <w:name w:val="annotation reference"/>
    <w:basedOn w:val="DefaultParagraphFont"/>
    <w:uiPriority w:val="99"/>
    <w:rsid w:val="00FF5CA4"/>
    <w:rPr>
      <w:sz w:val="16"/>
      <w:szCs w:val="16"/>
    </w:rPr>
  </w:style>
  <w:style w:type="paragraph" w:styleId="CommentText">
    <w:name w:val="annotation text"/>
    <w:basedOn w:val="Normal"/>
    <w:link w:val="CommentTextChar"/>
    <w:uiPriority w:val="99"/>
    <w:rsid w:val="00FF5CA4"/>
    <w:pPr>
      <w:spacing w:after="120"/>
    </w:pPr>
    <w:rPr>
      <w:rFonts w:ascii="Verdana" w:hAnsi="Verdana" w:cs="Verdana"/>
      <w:sz w:val="20"/>
      <w:szCs w:val="20"/>
      <w:lang w:val="en-GB"/>
    </w:rPr>
  </w:style>
  <w:style w:type="character" w:customStyle="1" w:styleId="CommentTextChar">
    <w:name w:val="Comment Text Char"/>
    <w:basedOn w:val="DefaultParagraphFont"/>
    <w:link w:val="CommentText"/>
    <w:uiPriority w:val="99"/>
    <w:rsid w:val="00FF5CA4"/>
    <w:rPr>
      <w:rFonts w:ascii="Verdana" w:hAnsi="Verdana" w:cs="Verdana"/>
      <w:sz w:val="20"/>
      <w:szCs w:val="20"/>
      <w:lang w:val="en-GB"/>
    </w:rPr>
  </w:style>
  <w:style w:type="paragraph" w:customStyle="1" w:styleId="TH">
    <w:name w:val="TH"/>
    <w:basedOn w:val="Normal"/>
    <w:uiPriority w:val="99"/>
    <w:rsid w:val="00FF5CA4"/>
    <w:pPr>
      <w:keepNext/>
      <w:spacing w:before="240" w:line="276" w:lineRule="auto"/>
      <w:ind w:left="1276" w:hanging="1276"/>
      <w:jc w:val="both"/>
    </w:pPr>
    <w:rPr>
      <w:b/>
      <w:bCs/>
      <w:sz w:val="22"/>
      <w:szCs w:val="22"/>
      <w:lang w:val="en-US"/>
    </w:rPr>
  </w:style>
  <w:style w:type="paragraph" w:customStyle="1" w:styleId="Tablenumber">
    <w:name w:val="Table number"/>
    <w:basedOn w:val="Normal"/>
    <w:uiPriority w:val="99"/>
    <w:rsid w:val="00FF5CA4"/>
    <w:pPr>
      <w:widowControl w:val="0"/>
      <w:spacing w:before="60" w:line="276" w:lineRule="auto"/>
      <w:ind w:right="288"/>
      <w:jc w:val="right"/>
    </w:pPr>
    <w:rPr>
      <w:sz w:val="22"/>
      <w:szCs w:val="22"/>
      <w:lang w:val="en-US"/>
    </w:rPr>
  </w:style>
  <w:style w:type="paragraph" w:customStyle="1" w:styleId="tabnum">
    <w:name w:val="tabnum"/>
    <w:basedOn w:val="Normal"/>
    <w:uiPriority w:val="99"/>
    <w:rsid w:val="00FF5CA4"/>
    <w:pPr>
      <w:tabs>
        <w:tab w:val="left" w:pos="426"/>
      </w:tabs>
      <w:spacing w:before="60" w:line="276" w:lineRule="auto"/>
      <w:ind w:left="680"/>
      <w:jc w:val="both"/>
    </w:pPr>
    <w:rPr>
      <w:sz w:val="22"/>
      <w:szCs w:val="22"/>
    </w:rPr>
  </w:style>
  <w:style w:type="paragraph" w:customStyle="1" w:styleId="recrev">
    <w:name w:val="recrev"/>
    <w:basedOn w:val="Heading6"/>
    <w:uiPriority w:val="99"/>
    <w:rsid w:val="00FF5CA4"/>
    <w:pPr>
      <w:spacing w:before="60" w:after="0"/>
      <w:ind w:right="227"/>
    </w:pPr>
    <w:rPr>
      <w:i w:val="0"/>
      <w:iCs w:val="0"/>
      <w:sz w:val="20"/>
      <w:szCs w:val="20"/>
    </w:rPr>
  </w:style>
  <w:style w:type="paragraph" w:customStyle="1" w:styleId="rec">
    <w:name w:val="rec"/>
    <w:basedOn w:val="Heading6"/>
    <w:uiPriority w:val="99"/>
    <w:rsid w:val="00FF5CA4"/>
    <w:pPr>
      <w:pBdr>
        <w:top w:val="single" w:sz="4" w:space="1" w:color="auto"/>
        <w:left w:val="single" w:sz="4" w:space="4" w:color="auto"/>
        <w:bottom w:val="single" w:sz="4" w:space="1" w:color="auto"/>
        <w:right w:val="single" w:sz="4" w:space="4" w:color="auto"/>
      </w:pBdr>
      <w:spacing w:after="60"/>
    </w:pPr>
    <w:rPr>
      <w:i w:val="0"/>
      <w:iCs w:val="0"/>
    </w:rPr>
  </w:style>
  <w:style w:type="paragraph" w:customStyle="1" w:styleId="Hilite">
    <w:name w:val="Hilite"/>
    <w:basedOn w:val="Normal"/>
    <w:autoRedefine/>
    <w:uiPriority w:val="99"/>
    <w:rsid w:val="00FF5CA4"/>
    <w:pPr>
      <w:spacing w:before="60" w:line="276" w:lineRule="auto"/>
      <w:jc w:val="center"/>
    </w:pPr>
    <w:rPr>
      <w:b/>
      <w:bCs/>
      <w:i/>
      <w:iCs/>
      <w:sz w:val="22"/>
      <w:szCs w:val="22"/>
    </w:rPr>
  </w:style>
  <w:style w:type="paragraph" w:customStyle="1" w:styleId="tableheader">
    <w:name w:val="table header"/>
    <w:basedOn w:val="Normal"/>
    <w:uiPriority w:val="99"/>
    <w:rsid w:val="00FF5CA4"/>
    <w:pPr>
      <w:widowControl w:val="0"/>
      <w:spacing w:before="120" w:line="276" w:lineRule="auto"/>
      <w:jc w:val="center"/>
    </w:pPr>
    <w:rPr>
      <w:b/>
      <w:bCs/>
      <w:i/>
      <w:iCs/>
      <w:sz w:val="22"/>
      <w:szCs w:val="22"/>
      <w:lang w:val="en-US"/>
    </w:rPr>
  </w:style>
  <w:style w:type="paragraph" w:customStyle="1" w:styleId="TF">
    <w:name w:val="TF"/>
    <w:basedOn w:val="Normal"/>
    <w:uiPriority w:val="99"/>
    <w:rsid w:val="00FF5CA4"/>
    <w:pPr>
      <w:spacing w:before="120" w:line="276" w:lineRule="auto"/>
      <w:jc w:val="both"/>
    </w:pPr>
    <w:rPr>
      <w:sz w:val="18"/>
      <w:szCs w:val="18"/>
    </w:rPr>
  </w:style>
  <w:style w:type="paragraph" w:customStyle="1" w:styleId="Table-heading">
    <w:name w:val="Table - heading"/>
    <w:basedOn w:val="Normal"/>
    <w:uiPriority w:val="99"/>
    <w:rsid w:val="00FF5CA4"/>
    <w:pPr>
      <w:spacing w:before="120" w:line="276" w:lineRule="auto"/>
      <w:jc w:val="both"/>
    </w:pPr>
    <w:rPr>
      <w:b/>
      <w:bCs/>
      <w:sz w:val="28"/>
      <w:szCs w:val="28"/>
    </w:rPr>
  </w:style>
  <w:style w:type="paragraph" w:customStyle="1" w:styleId="H4">
    <w:name w:val="H4"/>
    <w:basedOn w:val="Normal"/>
    <w:uiPriority w:val="99"/>
    <w:rsid w:val="00FF5CA4"/>
    <w:pPr>
      <w:keepNext/>
      <w:spacing w:before="120" w:line="276" w:lineRule="auto"/>
      <w:jc w:val="both"/>
    </w:pPr>
    <w:rPr>
      <w:b/>
      <w:bCs/>
      <w:sz w:val="22"/>
      <w:szCs w:val="22"/>
      <w:lang w:val="en-US"/>
    </w:rPr>
  </w:style>
  <w:style w:type="paragraph" w:styleId="DocumentMap">
    <w:name w:val="Document Map"/>
    <w:basedOn w:val="Normal"/>
    <w:link w:val="DocumentMapChar"/>
    <w:uiPriority w:val="99"/>
    <w:rsid w:val="00FF5CA4"/>
    <w:pPr>
      <w:shd w:val="clear" w:color="auto" w:fill="000080"/>
      <w:spacing w:before="120" w:line="276" w:lineRule="auto"/>
      <w:jc w:val="both"/>
    </w:pPr>
    <w:rPr>
      <w:rFonts w:ascii="Tahoma" w:hAnsi="Tahoma" w:cs="Tahoma"/>
      <w:sz w:val="22"/>
      <w:szCs w:val="22"/>
    </w:rPr>
  </w:style>
  <w:style w:type="character" w:customStyle="1" w:styleId="DocumentMapChar">
    <w:name w:val="Document Map Char"/>
    <w:basedOn w:val="DefaultParagraphFont"/>
    <w:link w:val="DocumentMap"/>
    <w:uiPriority w:val="99"/>
    <w:rsid w:val="00FF5CA4"/>
    <w:rPr>
      <w:rFonts w:ascii="Tahoma" w:hAnsi="Tahoma" w:cs="Tahoma"/>
      <w:sz w:val="20"/>
      <w:szCs w:val="20"/>
      <w:shd w:val="clear" w:color="auto" w:fill="000080"/>
    </w:rPr>
  </w:style>
  <w:style w:type="character" w:styleId="Strong">
    <w:name w:val="Strong"/>
    <w:basedOn w:val="DefaultParagraphFont"/>
    <w:uiPriority w:val="99"/>
    <w:qFormat/>
    <w:rsid w:val="00FF5CA4"/>
    <w:rPr>
      <w:b/>
      <w:bCs/>
    </w:rPr>
  </w:style>
  <w:style w:type="paragraph" w:customStyle="1" w:styleId="Default">
    <w:name w:val="Default"/>
    <w:uiPriority w:val="99"/>
    <w:rsid w:val="00FF5CA4"/>
    <w:pPr>
      <w:autoSpaceDE w:val="0"/>
      <w:autoSpaceDN w:val="0"/>
    </w:pPr>
    <w:rPr>
      <w:rFonts w:ascii="Calibri" w:hAnsi="Calibri"/>
      <w:color w:val="000000"/>
      <w:sz w:val="24"/>
      <w:szCs w:val="24"/>
      <w:lang w:val="en-AU"/>
    </w:rPr>
  </w:style>
  <w:style w:type="paragraph" w:customStyle="1" w:styleId="Pa4">
    <w:name w:val="Pa4"/>
    <w:basedOn w:val="Default"/>
    <w:next w:val="Default"/>
    <w:uiPriority w:val="99"/>
    <w:rsid w:val="00FF5CA4"/>
    <w:pPr>
      <w:spacing w:line="191" w:lineRule="atLeast"/>
    </w:pPr>
    <w:rPr>
      <w:rFonts w:ascii="Brandon Grotesque" w:hAnsi="Brandon Grotesque" w:cs="Brandon Grotesque"/>
      <w:color w:val="auto"/>
    </w:rPr>
  </w:style>
  <w:style w:type="character" w:customStyle="1" w:styleId="UnresolvedMention1">
    <w:name w:val="Unresolved Mention1"/>
    <w:uiPriority w:val="99"/>
    <w:rsid w:val="00FF5CA4"/>
    <w:rPr>
      <w:color w:val="808080"/>
      <w:shd w:val="clear" w:color="auto" w:fill="C0C0C0"/>
    </w:rPr>
  </w:style>
  <w:style w:type="character" w:customStyle="1" w:styleId="A9">
    <w:name w:val="A9"/>
    <w:uiPriority w:val="99"/>
    <w:rsid w:val="00FF5CA4"/>
    <w:rPr>
      <w:color w:val="000000"/>
    </w:rPr>
  </w:style>
  <w:style w:type="paragraph" w:customStyle="1" w:styleId="Style1">
    <w:name w:val="Style1"/>
    <w:basedOn w:val="Heading1"/>
    <w:uiPriority w:val="99"/>
    <w:rsid w:val="00FF5CA4"/>
    <w:pPr>
      <w:numPr>
        <w:numId w:val="23"/>
      </w:numPr>
      <w:spacing w:before="120" w:line="276" w:lineRule="auto"/>
      <w:ind w:left="1134" w:hanging="567"/>
      <w:jc w:val="both"/>
    </w:pPr>
  </w:style>
  <w:style w:type="character" w:customStyle="1" w:styleId="Style1Char">
    <w:name w:val="Style1 Char"/>
    <w:basedOn w:val="Heading1Char"/>
    <w:uiPriority w:val="99"/>
    <w:rsid w:val="00FF5CA4"/>
    <w:rPr>
      <w:rFonts w:ascii="Circular Std Book" w:hAnsi="Circular Std Book" w:cs="Circular Std Book"/>
      <w:b/>
      <w:bCs/>
      <w:color w:val="000000"/>
      <w:sz w:val="28"/>
      <w:szCs w:val="28"/>
      <w:lang w:val="en-AU"/>
    </w:rPr>
  </w:style>
  <w:style w:type="paragraph" w:styleId="NoSpacing">
    <w:name w:val="No Spacing"/>
    <w:basedOn w:val="ListParagraph"/>
    <w:uiPriority w:val="99"/>
    <w:qFormat/>
    <w:rsid w:val="00FF5CA4"/>
    <w:pPr>
      <w:numPr>
        <w:numId w:val="24"/>
      </w:numPr>
      <w:spacing w:after="200" w:line="276" w:lineRule="auto"/>
    </w:pPr>
    <w:rPr>
      <w:rFonts w:ascii="Avenir Light" w:hAnsi="Avenir Light" w:cs="Avenir Light"/>
      <w:sz w:val="21"/>
      <w:szCs w:val="21"/>
      <w:lang w:val="en-US"/>
    </w:rPr>
  </w:style>
  <w:style w:type="character" w:styleId="FollowedHyperlink">
    <w:name w:val="FollowedHyperlink"/>
    <w:basedOn w:val="DefaultParagraphFont"/>
    <w:uiPriority w:val="99"/>
    <w:rsid w:val="00FF5CA4"/>
    <w:rPr>
      <w:color w:val="808080"/>
      <w:u w:val="single"/>
    </w:rPr>
  </w:style>
  <w:style w:type="paragraph" w:customStyle="1" w:styleId="msonormal0">
    <w:name w:val="msonormal"/>
    <w:basedOn w:val="Normal"/>
    <w:uiPriority w:val="99"/>
    <w:rsid w:val="00FF5CA4"/>
    <w:pPr>
      <w:spacing w:before="100" w:after="100"/>
    </w:pPr>
    <w:rPr>
      <w:rFonts w:cstheme="minorBidi"/>
    </w:rPr>
  </w:style>
  <w:style w:type="paragraph" w:customStyle="1" w:styleId="font5">
    <w:name w:val="font5"/>
    <w:basedOn w:val="Normal"/>
    <w:uiPriority w:val="99"/>
    <w:rsid w:val="00FF5CA4"/>
    <w:pPr>
      <w:spacing w:before="100" w:after="100"/>
    </w:pPr>
    <w:rPr>
      <w:b/>
      <w:bCs/>
      <w:color w:val="000000"/>
      <w:sz w:val="20"/>
      <w:szCs w:val="20"/>
    </w:rPr>
  </w:style>
  <w:style w:type="paragraph" w:customStyle="1" w:styleId="font6">
    <w:name w:val="font6"/>
    <w:basedOn w:val="Normal"/>
    <w:uiPriority w:val="99"/>
    <w:rsid w:val="00FF5CA4"/>
    <w:pPr>
      <w:spacing w:before="100" w:after="100"/>
    </w:pPr>
    <w:rPr>
      <w:color w:val="000000"/>
      <w:sz w:val="20"/>
      <w:szCs w:val="20"/>
    </w:rPr>
  </w:style>
  <w:style w:type="paragraph" w:customStyle="1" w:styleId="font7">
    <w:name w:val="font7"/>
    <w:basedOn w:val="Normal"/>
    <w:uiPriority w:val="99"/>
    <w:rsid w:val="00FF5CA4"/>
    <w:pPr>
      <w:spacing w:before="100" w:after="100"/>
    </w:pPr>
    <w:rPr>
      <w:rFonts w:cstheme="minorBidi"/>
      <w:color w:val="000000"/>
      <w:sz w:val="14"/>
      <w:szCs w:val="14"/>
    </w:rPr>
  </w:style>
  <w:style w:type="paragraph" w:customStyle="1" w:styleId="font8">
    <w:name w:val="font8"/>
    <w:basedOn w:val="Normal"/>
    <w:uiPriority w:val="99"/>
    <w:rsid w:val="00FF5CA4"/>
    <w:pPr>
      <w:spacing w:before="100" w:after="100"/>
    </w:pPr>
    <w:rPr>
      <w:b/>
      <w:bCs/>
      <w:i/>
      <w:iCs/>
      <w:color w:val="000000"/>
      <w:sz w:val="20"/>
      <w:szCs w:val="20"/>
    </w:rPr>
  </w:style>
  <w:style w:type="paragraph" w:customStyle="1" w:styleId="font9">
    <w:name w:val="font9"/>
    <w:basedOn w:val="Normal"/>
    <w:uiPriority w:val="99"/>
    <w:rsid w:val="00FF5CA4"/>
    <w:pPr>
      <w:spacing w:before="100" w:after="100"/>
    </w:pPr>
    <w:rPr>
      <w:i/>
      <w:iCs/>
      <w:color w:val="000000"/>
      <w:sz w:val="20"/>
      <w:szCs w:val="20"/>
    </w:rPr>
  </w:style>
  <w:style w:type="paragraph" w:customStyle="1" w:styleId="xl63">
    <w:name w:val="xl63"/>
    <w:basedOn w:val="Normal"/>
    <w:uiPriority w:val="99"/>
    <w:rsid w:val="00FF5CA4"/>
    <w:pPr>
      <w:pBdr>
        <w:top w:val="single" w:sz="4" w:space="0" w:color="auto"/>
        <w:bottom w:val="single" w:sz="4" w:space="0" w:color="auto"/>
      </w:pBdr>
      <w:spacing w:before="100" w:after="100"/>
    </w:pPr>
    <w:rPr>
      <w:rFonts w:cstheme="minorBidi"/>
    </w:rPr>
  </w:style>
  <w:style w:type="paragraph" w:customStyle="1" w:styleId="xl64">
    <w:name w:val="xl64"/>
    <w:basedOn w:val="Normal"/>
    <w:uiPriority w:val="99"/>
    <w:rsid w:val="00FF5CA4"/>
    <w:pPr>
      <w:pBdr>
        <w:top w:val="single" w:sz="4" w:space="0" w:color="auto"/>
        <w:bottom w:val="single" w:sz="4" w:space="0" w:color="auto"/>
      </w:pBdr>
      <w:shd w:val="clear" w:color="000000" w:fill="C0C0C0"/>
      <w:spacing w:before="100" w:after="100"/>
      <w:jc w:val="center"/>
    </w:pPr>
    <w:rPr>
      <w:rFonts w:cstheme="minorBidi"/>
      <w:b/>
      <w:bCs/>
      <w:color w:val="FFFFFF"/>
      <w:sz w:val="20"/>
      <w:szCs w:val="20"/>
    </w:rPr>
  </w:style>
  <w:style w:type="paragraph" w:customStyle="1" w:styleId="xl65">
    <w:name w:val="xl65"/>
    <w:basedOn w:val="Normal"/>
    <w:uiPriority w:val="99"/>
    <w:rsid w:val="00FF5CA4"/>
    <w:pPr>
      <w:pBdr>
        <w:top w:val="single" w:sz="4" w:space="0" w:color="auto"/>
        <w:bottom w:val="single" w:sz="4" w:space="0" w:color="auto"/>
      </w:pBdr>
      <w:shd w:val="clear" w:color="000000" w:fill="C0C0C0"/>
      <w:spacing w:before="100" w:after="100"/>
      <w:jc w:val="center"/>
    </w:pPr>
    <w:rPr>
      <w:rFonts w:cstheme="minorBidi"/>
      <w:b/>
      <w:bCs/>
      <w:color w:val="FFFFFF"/>
      <w:sz w:val="18"/>
      <w:szCs w:val="18"/>
    </w:rPr>
  </w:style>
  <w:style w:type="paragraph" w:customStyle="1" w:styleId="xl66">
    <w:name w:val="xl66"/>
    <w:basedOn w:val="Normal"/>
    <w:uiPriority w:val="99"/>
    <w:rsid w:val="00FF5CA4"/>
    <w:pPr>
      <w:pBdr>
        <w:top w:val="single" w:sz="4" w:space="0" w:color="auto"/>
        <w:bottom w:val="single" w:sz="4" w:space="0" w:color="auto"/>
      </w:pBdr>
      <w:shd w:val="clear" w:color="000000" w:fill="C0C0C0"/>
      <w:spacing w:before="100" w:after="100"/>
      <w:jc w:val="center"/>
    </w:pPr>
    <w:rPr>
      <w:rFonts w:cstheme="minorBidi"/>
      <w:b/>
      <w:bCs/>
      <w:color w:val="FFFFFF"/>
      <w:sz w:val="18"/>
      <w:szCs w:val="18"/>
    </w:rPr>
  </w:style>
  <w:style w:type="paragraph" w:customStyle="1" w:styleId="xl67">
    <w:name w:val="xl67"/>
    <w:basedOn w:val="Normal"/>
    <w:uiPriority w:val="99"/>
    <w:rsid w:val="00FF5CA4"/>
    <w:pPr>
      <w:pBdr>
        <w:top w:val="single" w:sz="4" w:space="0" w:color="auto"/>
        <w:bottom w:val="single" w:sz="4" w:space="0" w:color="auto"/>
      </w:pBdr>
      <w:shd w:val="clear" w:color="000000" w:fill="C0C0C0"/>
      <w:spacing w:before="100" w:after="100"/>
      <w:jc w:val="center"/>
    </w:pPr>
    <w:rPr>
      <w:rFonts w:cstheme="minorBidi"/>
      <w:b/>
      <w:bCs/>
      <w:color w:val="FFFFFF"/>
      <w:sz w:val="18"/>
      <w:szCs w:val="18"/>
    </w:rPr>
  </w:style>
  <w:style w:type="paragraph" w:customStyle="1" w:styleId="xl68">
    <w:name w:val="xl68"/>
    <w:basedOn w:val="Normal"/>
    <w:uiPriority w:val="99"/>
    <w:rsid w:val="00FF5CA4"/>
    <w:pPr>
      <w:pBdr>
        <w:top w:val="single" w:sz="4" w:space="0" w:color="auto"/>
        <w:bottom w:val="single" w:sz="4" w:space="0" w:color="auto"/>
      </w:pBdr>
      <w:shd w:val="clear" w:color="000000" w:fill="C0C0C0"/>
      <w:spacing w:before="100" w:after="100"/>
      <w:jc w:val="center"/>
    </w:pPr>
    <w:rPr>
      <w:rFonts w:cstheme="minorBidi"/>
      <w:b/>
      <w:bCs/>
      <w:color w:val="000000"/>
      <w:sz w:val="20"/>
      <w:szCs w:val="20"/>
    </w:rPr>
  </w:style>
  <w:style w:type="paragraph" w:customStyle="1" w:styleId="xl69">
    <w:name w:val="xl69"/>
    <w:basedOn w:val="Normal"/>
    <w:uiPriority w:val="99"/>
    <w:rsid w:val="00FF5CA4"/>
    <w:pPr>
      <w:pBdr>
        <w:top w:val="single" w:sz="4" w:space="0" w:color="auto"/>
        <w:bottom w:val="single" w:sz="4" w:space="0" w:color="auto"/>
      </w:pBdr>
      <w:spacing w:before="100" w:after="100"/>
    </w:pPr>
    <w:rPr>
      <w:rFonts w:cstheme="minorBidi"/>
      <w:b/>
      <w:bCs/>
      <w:sz w:val="20"/>
      <w:szCs w:val="20"/>
    </w:rPr>
  </w:style>
  <w:style w:type="paragraph" w:customStyle="1" w:styleId="xl70">
    <w:name w:val="xl70"/>
    <w:basedOn w:val="Normal"/>
    <w:uiPriority w:val="99"/>
    <w:rsid w:val="00FF5CA4"/>
    <w:pPr>
      <w:pBdr>
        <w:top w:val="single" w:sz="4" w:space="0" w:color="auto"/>
        <w:bottom w:val="single" w:sz="4" w:space="0" w:color="auto"/>
      </w:pBdr>
      <w:spacing w:before="100" w:after="100"/>
      <w:jc w:val="both"/>
    </w:pPr>
    <w:rPr>
      <w:rFonts w:cstheme="minorBidi"/>
      <w:sz w:val="20"/>
      <w:szCs w:val="20"/>
    </w:rPr>
  </w:style>
  <w:style w:type="paragraph" w:customStyle="1" w:styleId="xl71">
    <w:name w:val="xl71"/>
    <w:basedOn w:val="Normal"/>
    <w:uiPriority w:val="99"/>
    <w:rsid w:val="00FF5CA4"/>
    <w:pPr>
      <w:pBdr>
        <w:top w:val="single" w:sz="4" w:space="0" w:color="auto"/>
        <w:bottom w:val="single" w:sz="4" w:space="0" w:color="auto"/>
      </w:pBdr>
      <w:shd w:val="clear" w:color="000000" w:fill="C0C0C0"/>
      <w:spacing w:before="100" w:after="100"/>
    </w:pPr>
    <w:rPr>
      <w:rFonts w:cstheme="minorBidi"/>
    </w:rPr>
  </w:style>
  <w:style w:type="paragraph" w:customStyle="1" w:styleId="xl72">
    <w:name w:val="xl72"/>
    <w:basedOn w:val="Normal"/>
    <w:uiPriority w:val="99"/>
    <w:rsid w:val="00FF5CA4"/>
    <w:pPr>
      <w:pBdr>
        <w:top w:val="single" w:sz="4" w:space="0" w:color="auto"/>
        <w:bottom w:val="single" w:sz="4" w:space="0" w:color="auto"/>
      </w:pBdr>
      <w:shd w:val="clear" w:color="000000" w:fill="FFFFFF"/>
      <w:spacing w:before="100" w:after="100"/>
    </w:pPr>
    <w:rPr>
      <w:rFonts w:cstheme="minorBidi"/>
    </w:rPr>
  </w:style>
  <w:style w:type="paragraph" w:customStyle="1" w:styleId="xl73">
    <w:name w:val="xl73"/>
    <w:basedOn w:val="Normal"/>
    <w:uiPriority w:val="99"/>
    <w:rsid w:val="00FF5CA4"/>
    <w:pPr>
      <w:pBdr>
        <w:top w:val="single" w:sz="4" w:space="0" w:color="auto"/>
        <w:bottom w:val="single" w:sz="4" w:space="0" w:color="auto"/>
      </w:pBdr>
      <w:spacing w:before="100" w:after="100"/>
      <w:ind w:firstLine="200"/>
    </w:pPr>
    <w:rPr>
      <w:rFonts w:cstheme="minorBidi"/>
      <w:sz w:val="20"/>
      <w:szCs w:val="20"/>
    </w:rPr>
  </w:style>
  <w:style w:type="paragraph" w:customStyle="1" w:styleId="xl74">
    <w:name w:val="xl74"/>
    <w:basedOn w:val="Normal"/>
    <w:uiPriority w:val="99"/>
    <w:rsid w:val="00FF5CA4"/>
    <w:pPr>
      <w:pBdr>
        <w:top w:val="single" w:sz="4" w:space="0" w:color="auto"/>
        <w:bottom w:val="single" w:sz="4" w:space="0" w:color="auto"/>
      </w:pBdr>
      <w:shd w:val="clear" w:color="000000" w:fill="C0C0C0"/>
      <w:spacing w:before="100" w:after="100"/>
    </w:pPr>
    <w:rPr>
      <w:rFonts w:cstheme="minorBidi"/>
      <w:b/>
      <w:bCs/>
      <w:color w:val="000000"/>
      <w:sz w:val="20"/>
      <w:szCs w:val="20"/>
    </w:rPr>
  </w:style>
  <w:style w:type="paragraph" w:customStyle="1" w:styleId="xl75">
    <w:name w:val="xl75"/>
    <w:basedOn w:val="Normal"/>
    <w:uiPriority w:val="99"/>
    <w:rsid w:val="00FF5CA4"/>
    <w:pPr>
      <w:pBdr>
        <w:top w:val="single" w:sz="4" w:space="0" w:color="auto"/>
        <w:bottom w:val="single" w:sz="4" w:space="0" w:color="auto"/>
      </w:pBdr>
      <w:spacing w:before="100" w:after="100"/>
    </w:pPr>
    <w:rPr>
      <w:rFonts w:cstheme="minorBidi"/>
      <w:b/>
      <w:bCs/>
      <w:sz w:val="20"/>
      <w:szCs w:val="20"/>
    </w:rPr>
  </w:style>
  <w:style w:type="paragraph" w:customStyle="1" w:styleId="xl76">
    <w:name w:val="xl76"/>
    <w:basedOn w:val="Normal"/>
    <w:uiPriority w:val="99"/>
    <w:rsid w:val="00FF5CA4"/>
    <w:pPr>
      <w:pBdr>
        <w:top w:val="single" w:sz="4" w:space="0" w:color="auto"/>
        <w:bottom w:val="single" w:sz="4" w:space="0" w:color="auto"/>
      </w:pBdr>
      <w:spacing w:before="100" w:after="100"/>
      <w:jc w:val="both"/>
    </w:pPr>
    <w:rPr>
      <w:rFonts w:ascii="Wingdings" w:hAnsi="Wingdings" w:cs="Wingdings"/>
      <w:sz w:val="20"/>
      <w:szCs w:val="20"/>
    </w:rPr>
  </w:style>
  <w:style w:type="paragraph" w:customStyle="1" w:styleId="xl77">
    <w:name w:val="xl77"/>
    <w:basedOn w:val="Normal"/>
    <w:uiPriority w:val="99"/>
    <w:rsid w:val="00FF5CA4"/>
    <w:pPr>
      <w:pBdr>
        <w:top w:val="single" w:sz="4" w:space="0" w:color="auto"/>
        <w:bottom w:val="single" w:sz="4" w:space="0" w:color="auto"/>
      </w:pBdr>
      <w:shd w:val="clear" w:color="000000" w:fill="C0C0C0"/>
      <w:spacing w:before="100" w:after="100"/>
      <w:jc w:val="both"/>
    </w:pPr>
    <w:rPr>
      <w:rFonts w:cstheme="minorBidi"/>
      <w:sz w:val="20"/>
      <w:szCs w:val="20"/>
    </w:rPr>
  </w:style>
  <w:style w:type="paragraph" w:customStyle="1" w:styleId="xl78">
    <w:name w:val="xl78"/>
    <w:basedOn w:val="Normal"/>
    <w:uiPriority w:val="99"/>
    <w:rsid w:val="00FF5CA4"/>
    <w:pPr>
      <w:pBdr>
        <w:top w:val="single" w:sz="4" w:space="0" w:color="auto"/>
        <w:bottom w:val="single" w:sz="4" w:space="0" w:color="auto"/>
      </w:pBdr>
      <w:shd w:val="clear" w:color="000000" w:fill="C0C0C0"/>
      <w:spacing w:before="100" w:after="100"/>
    </w:pPr>
    <w:rPr>
      <w:rFonts w:cstheme="minorBidi"/>
    </w:rPr>
  </w:style>
  <w:style w:type="character" w:styleId="IntenseReference">
    <w:name w:val="Intense Reference"/>
    <w:basedOn w:val="DefaultParagraphFont"/>
    <w:uiPriority w:val="99"/>
    <w:qFormat/>
    <w:rsid w:val="00FF5CA4"/>
    <w:rPr>
      <w:b/>
      <w:bCs/>
      <w:smallCaps/>
      <w:color w:val="808080"/>
      <w:spacing w:val="5"/>
    </w:rPr>
  </w:style>
  <w:style w:type="paragraph" w:customStyle="1" w:styleId="CommentSubject1">
    <w:name w:val="Comment Subject1"/>
    <w:basedOn w:val="CommentText"/>
    <w:next w:val="CommentText"/>
    <w:uiPriority w:val="99"/>
    <w:rsid w:val="00FF5CA4"/>
    <w:pPr>
      <w:spacing w:before="120" w:after="0"/>
    </w:pPr>
    <w:rPr>
      <w:rFonts w:ascii="Calibri" w:hAnsi="Calibri" w:cs="Calibri"/>
      <w:b/>
      <w:bCs/>
      <w:lang w:val="en-AU"/>
    </w:rPr>
  </w:style>
  <w:style w:type="character" w:customStyle="1" w:styleId="CommentSubjectChar">
    <w:name w:val="Comment Subject Char"/>
    <w:uiPriority w:val="99"/>
    <w:rsid w:val="00FF5CA4"/>
    <w:rPr>
      <w:rFonts w:ascii="Verdana" w:hAnsi="Verdana" w:cs="Verdana"/>
      <w:b/>
      <w:bCs/>
      <w:sz w:val="20"/>
      <w:szCs w:val="20"/>
      <w:lang w:val="en-GB"/>
    </w:rPr>
  </w:style>
  <w:style w:type="character" w:styleId="BookTitle">
    <w:name w:val="Book Title"/>
    <w:basedOn w:val="DefaultParagraphFont"/>
    <w:uiPriority w:val="99"/>
    <w:qFormat/>
    <w:rsid w:val="00FF5CA4"/>
    <w:rPr>
      <w:b/>
      <w:bCs/>
      <w:smallCaps/>
      <w:spacing w:val="5"/>
    </w:rPr>
  </w:style>
  <w:style w:type="paragraph" w:styleId="CommentSubject">
    <w:name w:val="annotation subject"/>
    <w:basedOn w:val="CommentText"/>
    <w:next w:val="CommentText"/>
    <w:link w:val="CommentSubjectChar1"/>
    <w:uiPriority w:val="99"/>
    <w:rsid w:val="00FF5CA4"/>
    <w:pPr>
      <w:spacing w:after="0"/>
    </w:pPr>
    <w:rPr>
      <w:rFonts w:ascii="Calibri" w:hAnsi="Calibri" w:cs="Calibri"/>
      <w:b/>
      <w:bCs/>
      <w:lang w:val="en-AU"/>
    </w:rPr>
  </w:style>
  <w:style w:type="character" w:customStyle="1" w:styleId="CommentSubjectChar1">
    <w:name w:val="Comment Subject Char1"/>
    <w:basedOn w:val="CommentTextChar"/>
    <w:link w:val="CommentSubject"/>
    <w:uiPriority w:val="99"/>
    <w:rsid w:val="00FF5CA4"/>
    <w:rPr>
      <w:rFonts w:ascii="Verdana" w:hAnsi="Verdana" w:cs="Verdana"/>
      <w:b/>
      <w:bCs/>
      <w:sz w:val="20"/>
      <w:szCs w:val="20"/>
      <w:lang w:val="en-GB"/>
    </w:rPr>
  </w:style>
  <w:style w:type="character" w:styleId="IntenseEmphasis">
    <w:name w:val="Intense Emphasis"/>
    <w:basedOn w:val="DefaultParagraphFont"/>
    <w:uiPriority w:val="99"/>
    <w:qFormat/>
    <w:rsid w:val="00FF5CA4"/>
    <w:rPr>
      <w:i/>
      <w:iCs/>
      <w:color w:val="808080"/>
      <w:sz w:val="24"/>
      <w:szCs w:val="24"/>
    </w:rPr>
  </w:style>
  <w:style w:type="paragraph" w:styleId="PlainText">
    <w:name w:val="Plain Text"/>
    <w:basedOn w:val="Normal"/>
    <w:link w:val="PlainTextChar"/>
    <w:uiPriority w:val="99"/>
    <w:rsid w:val="00FF5CA4"/>
    <w:rPr>
      <w:sz w:val="22"/>
      <w:szCs w:val="22"/>
    </w:rPr>
  </w:style>
  <w:style w:type="character" w:customStyle="1" w:styleId="PlainTextChar">
    <w:name w:val="Plain Text Char"/>
    <w:basedOn w:val="DefaultParagraphFont"/>
    <w:link w:val="PlainText"/>
    <w:uiPriority w:val="99"/>
    <w:rsid w:val="00FF5CA4"/>
    <w:rPr>
      <w:rFonts w:ascii="Calibri" w:hAnsi="Calibri" w:cs="Calibri"/>
      <w:sz w:val="21"/>
      <w:szCs w:val="21"/>
    </w:rPr>
  </w:style>
  <w:style w:type="paragraph" w:customStyle="1" w:styleId="paragraph">
    <w:name w:val="paragraph"/>
    <w:basedOn w:val="Normal"/>
    <w:uiPriority w:val="99"/>
    <w:rsid w:val="00FF5CA4"/>
    <w:pPr>
      <w:spacing w:before="100" w:after="100"/>
    </w:pPr>
    <w:rPr>
      <w:sz w:val="22"/>
      <w:szCs w:val="22"/>
    </w:rPr>
  </w:style>
  <w:style w:type="character" w:customStyle="1" w:styleId="normaltextrun">
    <w:name w:val="normaltextrun"/>
    <w:basedOn w:val="DefaultParagraphFont"/>
    <w:uiPriority w:val="99"/>
    <w:rsid w:val="00FF5CA4"/>
  </w:style>
  <w:style w:type="character" w:customStyle="1" w:styleId="eop">
    <w:name w:val="eop"/>
    <w:basedOn w:val="DefaultParagraphFont"/>
    <w:uiPriority w:val="99"/>
    <w:rsid w:val="00FF5CA4"/>
  </w:style>
  <w:style w:type="paragraph" w:styleId="Revision">
    <w:name w:val="Revision"/>
    <w:hidden/>
    <w:uiPriority w:val="99"/>
    <w:rsid w:val="00FF5CA4"/>
    <w:pPr>
      <w:autoSpaceDE w:val="0"/>
      <w:autoSpaceDN w:val="0"/>
    </w:pPr>
    <w:rPr>
      <w:rFonts w:ascii="Calibri" w:hAnsi="Calibri" w:cs="Calibri"/>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image" Target="media/image9.png"/><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www.ahuri.edu.au/policy/glossary/glossary-items/shared-equity"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Kate\Dropbox\K2%20Planning\2019%20JOBS\201901%20CoGG%20Social%20Housing\03\report\Social%20Housing%20PLan\CoGG%20SHP%202018%20-%202041\Final%20Plan%20Sept%202019\CoGG%20Social%20Housing%20Plan%20FINAL%20October%202019.docx" TargetMode="External"/><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hyperlink" Target="https://www.ahuri.edu.au/policy/glossary/glossary-items/owner-purchaser-or-purchaser-owner"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hyperlink" Target="https://www.ahuri.edu.au/policy/glossary/glossary-items/public-housing"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Kate\Dropbox\K2%20Planning\2019%20JOBS\201901%20CoGG%20Social%20Housing\03\report\Social%20Housing%20PLan\CoGG%20SHP%202018%20-%202041\Final%20Plan%20Sept%202019\CoGG%20Social%20Housing%20Plan%20FINAL%20October%202019.docx" TargetMode="External"/><Relationship Id="rId24" Type="http://schemas.openxmlformats.org/officeDocument/2006/relationships/image" Target="media/image8.png"/><Relationship Id="rId32" Type="http://schemas.openxmlformats.org/officeDocument/2006/relationships/hyperlink" Target="https://www.dss.gov.au/our-responsibilities/housing-support/programmes-services/national-rental-affordability-scheme/national-rental-affordability-scheme-performance-reporting" TargetMode="External"/><Relationship Id="rId37" Type="http://schemas.openxmlformats.org/officeDocument/2006/relationships/image" Target="media/image11.jp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www.legislation.vic.gov.au/Domino/Web_Notes/LDMS/PubLawToday.nsf/2184e627479f8392ca256da50082bf3e/ff8b257bb218c57fca25736000008380!OpenDocument" TargetMode="External"/><Relationship Id="rId36" Type="http://schemas.openxmlformats.org/officeDocument/2006/relationships/footer" Target="footer3.xml"/><Relationship Id="rId10" Type="http://schemas.openxmlformats.org/officeDocument/2006/relationships/hyperlink" Target="file:///C:\Users\Kate\Dropbox\K2%20Planning\2019%20JOBS\201901%20CoGG%20Social%20Housing\03\report\Social%20Housing%20PLan\CoGG%20SHP%202018%20-%202041\Final%20Plan%20Sept%202019\CoGG%20Social%20Housing%20Plan%20FINAL%20October%202019.docx" TargetMode="External"/><Relationship Id="rId19" Type="http://schemas.openxmlformats.org/officeDocument/2006/relationships/chart" Target="charts/chart3.xml"/><Relationship Id="rId31" Type="http://schemas.openxmlformats.org/officeDocument/2006/relationships/hyperlink" Target="https://www.ahuri.edu.au/policy/glossary/glossary-items/national-rental-affordability-scheme-nra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www.ahuri.edu.au/policy/glossary/glossary-items/community-housing" TargetMode="External"/><Relationship Id="rId35" Type="http://schemas.openxmlformats.org/officeDocument/2006/relationships/hyperlink" Target="https://www.ahuri.edu.au/policy/glossary?result_1751_result_page=H"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2" Type="http://schemas.openxmlformats.org/officeDocument/2006/relationships/hyperlink" Target="http://www.housingregistrar.vic.gov.au/Who-we-regulate" TargetMode="External"/><Relationship Id="rId1" Type="http://schemas.openxmlformats.org/officeDocument/2006/relationships/hyperlink" Target="https://www.dhhs.vic.gov.au/public-housing-renewal-progra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Charts!$A$29</c:f>
              <c:strCache>
                <c:ptCount val="1"/>
                <c:pt idx="0">
                  <c:v>1BR</c:v>
                </c:pt>
              </c:strCache>
            </c:strRef>
          </c:tx>
          <c:spPr>
            <a:ln w="28547" cap="rnd">
              <a:solidFill>
                <a:schemeClr val="accent1"/>
              </a:solidFill>
              <a:round/>
            </a:ln>
            <a:effectLst/>
          </c:spPr>
          <c:marker>
            <c:symbol val="none"/>
          </c:marker>
          <c:cat>
            <c:strRef>
              <c:f>Charts!$B$28:$BX$28</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2014</c:v>
                </c:pt>
                <c:pt idx="64">
                  <c:v>Mar 2016</c:v>
                </c:pt>
                <c:pt idx="65">
                  <c:v>Jun 2016</c:v>
                </c:pt>
                <c:pt idx="66">
                  <c:v>Sep 2016</c:v>
                </c:pt>
                <c:pt idx="67">
                  <c:v>Dec 2016</c:v>
                </c:pt>
                <c:pt idx="68">
                  <c:v>Mar 2017</c:v>
                </c:pt>
                <c:pt idx="69">
                  <c:v>June 2017</c:v>
                </c:pt>
                <c:pt idx="70">
                  <c:v>Sep 2017</c:v>
                </c:pt>
                <c:pt idx="71">
                  <c:v>Dec 2017</c:v>
                </c:pt>
                <c:pt idx="72">
                  <c:v>Mar 2018</c:v>
                </c:pt>
                <c:pt idx="73">
                  <c:v>Jun 2018</c:v>
                </c:pt>
                <c:pt idx="74">
                  <c:v>Sep 2018</c:v>
                </c:pt>
              </c:strCache>
            </c:strRef>
          </c:cat>
          <c:val>
            <c:numRef>
              <c:f>Charts!$B$29:$BX$29</c:f>
              <c:numCache>
                <c:formatCode>0%</c:formatCode>
                <c:ptCount val="75"/>
                <c:pt idx="0">
                  <c:v>0.7420000000000001</c:v>
                </c:pt>
                <c:pt idx="1">
                  <c:v>0.81899999999999995</c:v>
                </c:pt>
                <c:pt idx="2">
                  <c:v>0.81200000000000017</c:v>
                </c:pt>
                <c:pt idx="3">
                  <c:v>0.88200000000000001</c:v>
                </c:pt>
                <c:pt idx="4">
                  <c:v>0.91</c:v>
                </c:pt>
                <c:pt idx="5">
                  <c:v>0.89</c:v>
                </c:pt>
                <c:pt idx="6">
                  <c:v>0.85400000000000009</c:v>
                </c:pt>
                <c:pt idx="7">
                  <c:v>0.83600000000000008</c:v>
                </c:pt>
                <c:pt idx="8">
                  <c:v>0.81699999999999995</c:v>
                </c:pt>
                <c:pt idx="9">
                  <c:v>0.8680000000000001</c:v>
                </c:pt>
                <c:pt idx="10">
                  <c:v>0.84900000000000009</c:v>
                </c:pt>
                <c:pt idx="11">
                  <c:v>0.80800000000000005</c:v>
                </c:pt>
                <c:pt idx="12">
                  <c:v>0.68600000000000005</c:v>
                </c:pt>
                <c:pt idx="13">
                  <c:v>0.75200000000000011</c:v>
                </c:pt>
                <c:pt idx="14">
                  <c:v>0.77100000000000013</c:v>
                </c:pt>
                <c:pt idx="15">
                  <c:v>0.68899999999999995</c:v>
                </c:pt>
                <c:pt idx="16">
                  <c:v>0.56299999999999994</c:v>
                </c:pt>
                <c:pt idx="17">
                  <c:v>0.69000000000000006</c:v>
                </c:pt>
                <c:pt idx="18">
                  <c:v>0.75000000000000011</c:v>
                </c:pt>
                <c:pt idx="19">
                  <c:v>0.58199999999999996</c:v>
                </c:pt>
                <c:pt idx="20">
                  <c:v>0.60100000000000009</c:v>
                </c:pt>
                <c:pt idx="21">
                  <c:v>0.69199999999999995</c:v>
                </c:pt>
                <c:pt idx="22">
                  <c:v>0.66700000000000015</c:v>
                </c:pt>
                <c:pt idx="23">
                  <c:v>0.66700000000000015</c:v>
                </c:pt>
                <c:pt idx="24">
                  <c:v>0.59</c:v>
                </c:pt>
                <c:pt idx="25">
                  <c:v>0.60300000000000009</c:v>
                </c:pt>
                <c:pt idx="26">
                  <c:v>0.58000000000000007</c:v>
                </c:pt>
                <c:pt idx="27">
                  <c:v>0.55700000000000005</c:v>
                </c:pt>
                <c:pt idx="28">
                  <c:v>0.47700000000000004</c:v>
                </c:pt>
                <c:pt idx="29">
                  <c:v>0.55900000000000005</c:v>
                </c:pt>
                <c:pt idx="30">
                  <c:v>0.52900000000000003</c:v>
                </c:pt>
                <c:pt idx="31">
                  <c:v>0.47400000000000003</c:v>
                </c:pt>
                <c:pt idx="32">
                  <c:v>0.3610000000000001</c:v>
                </c:pt>
                <c:pt idx="33">
                  <c:v>0.39900000000000008</c:v>
                </c:pt>
                <c:pt idx="34">
                  <c:v>0.31400000000000006</c:v>
                </c:pt>
                <c:pt idx="35">
                  <c:v>0.3030000000000001</c:v>
                </c:pt>
                <c:pt idx="36">
                  <c:v>0.253</c:v>
                </c:pt>
                <c:pt idx="37">
                  <c:v>0.20900000000000002</c:v>
                </c:pt>
                <c:pt idx="38">
                  <c:v>0.16500000000000001</c:v>
                </c:pt>
                <c:pt idx="39">
                  <c:v>0.15600000000000003</c:v>
                </c:pt>
                <c:pt idx="40">
                  <c:v>0.21100000000000002</c:v>
                </c:pt>
                <c:pt idx="41">
                  <c:v>0.20800000000000002</c:v>
                </c:pt>
                <c:pt idx="42">
                  <c:v>0.12300000000000001</c:v>
                </c:pt>
                <c:pt idx="43">
                  <c:v>0.12300000000000001</c:v>
                </c:pt>
                <c:pt idx="44">
                  <c:v>8.3000000000000018E-2</c:v>
                </c:pt>
                <c:pt idx="45">
                  <c:v>8.5000000000000006E-2</c:v>
                </c:pt>
                <c:pt idx="46">
                  <c:v>6.4000000000000015E-2</c:v>
                </c:pt>
                <c:pt idx="47">
                  <c:v>8.9000000000000037E-2</c:v>
                </c:pt>
                <c:pt idx="48">
                  <c:v>4.7000000000000007E-2</c:v>
                </c:pt>
                <c:pt idx="49">
                  <c:v>6.3E-2</c:v>
                </c:pt>
                <c:pt idx="50">
                  <c:v>3.7999999999999999E-2</c:v>
                </c:pt>
                <c:pt idx="51">
                  <c:v>5.3000000000000005E-2</c:v>
                </c:pt>
                <c:pt idx="52">
                  <c:v>5.9000000000000004E-2</c:v>
                </c:pt>
                <c:pt idx="53">
                  <c:v>2.8000000000000001E-2</c:v>
                </c:pt>
                <c:pt idx="54">
                  <c:v>4.5000000000000005E-2</c:v>
                </c:pt>
                <c:pt idx="55">
                  <c:v>2.4E-2</c:v>
                </c:pt>
                <c:pt idx="56">
                  <c:v>4.200000000000001E-2</c:v>
                </c:pt>
                <c:pt idx="57">
                  <c:v>1.7999999999999999E-2</c:v>
                </c:pt>
                <c:pt idx="58">
                  <c:v>2.5000000000000001E-2</c:v>
                </c:pt>
                <c:pt idx="59">
                  <c:v>6.000000000000001E-3</c:v>
                </c:pt>
                <c:pt idx="60">
                  <c:v>3.1000000000000003E-2</c:v>
                </c:pt>
                <c:pt idx="61">
                  <c:v>5.1999999999999998E-2</c:v>
                </c:pt>
                <c:pt idx="62">
                  <c:v>6.000000000000001E-3</c:v>
                </c:pt>
                <c:pt idx="63">
                  <c:v>2.5000000000000001E-2</c:v>
                </c:pt>
                <c:pt idx="64">
                  <c:v>5.000000000000001E-3</c:v>
                </c:pt>
                <c:pt idx="65">
                  <c:v>1.4E-2</c:v>
                </c:pt>
                <c:pt idx="66">
                  <c:v>2.0000000000000004E-2</c:v>
                </c:pt>
                <c:pt idx="67">
                  <c:v>1.2999999999999998E-2</c:v>
                </c:pt>
                <c:pt idx="68">
                  <c:v>1.2E-2</c:v>
                </c:pt>
                <c:pt idx="69">
                  <c:v>0</c:v>
                </c:pt>
                <c:pt idx="70">
                  <c:v>4.200000000000001E-2</c:v>
                </c:pt>
                <c:pt idx="71">
                  <c:v>6.3E-2</c:v>
                </c:pt>
                <c:pt idx="72">
                  <c:v>0</c:v>
                </c:pt>
                <c:pt idx="73">
                  <c:v>2.5999999999999999E-2</c:v>
                </c:pt>
                <c:pt idx="74">
                  <c:v>0</c:v>
                </c:pt>
              </c:numCache>
            </c:numRef>
          </c:val>
          <c:smooth val="0"/>
          <c:extLst>
            <c:ext xmlns:c16="http://schemas.microsoft.com/office/drawing/2014/chart" uri="{C3380CC4-5D6E-409C-BE32-E72D297353CC}">
              <c16:uniqueId val="{00000000-9431-4F46-AA3A-B0D1D4A183DF}"/>
            </c:ext>
          </c:extLst>
        </c:ser>
        <c:ser>
          <c:idx val="1"/>
          <c:order val="1"/>
          <c:tx>
            <c:strRef>
              <c:f>Charts!$A$30</c:f>
              <c:strCache>
                <c:ptCount val="1"/>
                <c:pt idx="0">
                  <c:v>2BR</c:v>
                </c:pt>
              </c:strCache>
            </c:strRef>
          </c:tx>
          <c:spPr>
            <a:ln w="28547" cap="rnd">
              <a:solidFill>
                <a:schemeClr val="accent2"/>
              </a:solidFill>
              <a:round/>
            </a:ln>
            <a:effectLst/>
          </c:spPr>
          <c:marker>
            <c:symbol val="none"/>
          </c:marker>
          <c:cat>
            <c:strRef>
              <c:f>Charts!$B$28:$BX$28</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2014</c:v>
                </c:pt>
                <c:pt idx="64">
                  <c:v>Mar 2016</c:v>
                </c:pt>
                <c:pt idx="65">
                  <c:v>Jun 2016</c:v>
                </c:pt>
                <c:pt idx="66">
                  <c:v>Sep 2016</c:v>
                </c:pt>
                <c:pt idx="67">
                  <c:v>Dec 2016</c:v>
                </c:pt>
                <c:pt idx="68">
                  <c:v>Mar 2017</c:v>
                </c:pt>
                <c:pt idx="69">
                  <c:v>June 2017</c:v>
                </c:pt>
                <c:pt idx="70">
                  <c:v>Sep 2017</c:v>
                </c:pt>
                <c:pt idx="71">
                  <c:v>Dec 2017</c:v>
                </c:pt>
                <c:pt idx="72">
                  <c:v>Mar 2018</c:v>
                </c:pt>
                <c:pt idx="73">
                  <c:v>Jun 2018</c:v>
                </c:pt>
                <c:pt idx="74">
                  <c:v>Sep 2018</c:v>
                </c:pt>
              </c:strCache>
            </c:strRef>
          </c:cat>
          <c:val>
            <c:numRef>
              <c:f>Charts!$B$30:$BX$30</c:f>
              <c:numCache>
                <c:formatCode>0%</c:formatCode>
                <c:ptCount val="75"/>
                <c:pt idx="0">
                  <c:v>0.37200000000000005</c:v>
                </c:pt>
                <c:pt idx="1">
                  <c:v>0.3610000000000001</c:v>
                </c:pt>
                <c:pt idx="2">
                  <c:v>0.52200000000000002</c:v>
                </c:pt>
                <c:pt idx="3">
                  <c:v>0.6070000000000001</c:v>
                </c:pt>
                <c:pt idx="4">
                  <c:v>0.56399999999999995</c:v>
                </c:pt>
                <c:pt idx="5">
                  <c:v>0.59799999999999998</c:v>
                </c:pt>
                <c:pt idx="6">
                  <c:v>0.70600000000000007</c:v>
                </c:pt>
                <c:pt idx="7">
                  <c:v>0.66200000000000014</c:v>
                </c:pt>
                <c:pt idx="8">
                  <c:v>0.59399999999999997</c:v>
                </c:pt>
                <c:pt idx="9">
                  <c:v>0.62100000000000011</c:v>
                </c:pt>
                <c:pt idx="10">
                  <c:v>0.64300000000000013</c:v>
                </c:pt>
                <c:pt idx="11">
                  <c:v>0.57299999999999995</c:v>
                </c:pt>
                <c:pt idx="12">
                  <c:v>0.51100000000000001</c:v>
                </c:pt>
                <c:pt idx="13">
                  <c:v>0.6160000000000001</c:v>
                </c:pt>
                <c:pt idx="14">
                  <c:v>0.60400000000000009</c:v>
                </c:pt>
                <c:pt idx="15">
                  <c:v>0.55200000000000005</c:v>
                </c:pt>
                <c:pt idx="16">
                  <c:v>0.51900000000000002</c:v>
                </c:pt>
                <c:pt idx="17">
                  <c:v>0.6130000000000001</c:v>
                </c:pt>
                <c:pt idx="18">
                  <c:v>0.56899999999999995</c:v>
                </c:pt>
                <c:pt idx="19">
                  <c:v>0.53200000000000003</c:v>
                </c:pt>
                <c:pt idx="20">
                  <c:v>0.46600000000000008</c:v>
                </c:pt>
                <c:pt idx="21">
                  <c:v>0.57800000000000007</c:v>
                </c:pt>
                <c:pt idx="22">
                  <c:v>0.59499999999999997</c:v>
                </c:pt>
                <c:pt idx="23">
                  <c:v>0.55000000000000004</c:v>
                </c:pt>
                <c:pt idx="24">
                  <c:v>0.51900000000000002</c:v>
                </c:pt>
                <c:pt idx="25">
                  <c:v>0.6150000000000001</c:v>
                </c:pt>
                <c:pt idx="26">
                  <c:v>0.52900000000000003</c:v>
                </c:pt>
                <c:pt idx="27">
                  <c:v>0.53300000000000003</c:v>
                </c:pt>
                <c:pt idx="28">
                  <c:v>0.4890000000000001</c:v>
                </c:pt>
                <c:pt idx="29">
                  <c:v>0.44800000000000001</c:v>
                </c:pt>
                <c:pt idx="30">
                  <c:v>0.50600000000000001</c:v>
                </c:pt>
                <c:pt idx="31">
                  <c:v>0.46600000000000008</c:v>
                </c:pt>
                <c:pt idx="32">
                  <c:v>0.37200000000000005</c:v>
                </c:pt>
                <c:pt idx="33">
                  <c:v>0.41100000000000003</c:v>
                </c:pt>
                <c:pt idx="34">
                  <c:v>0.33100000000000007</c:v>
                </c:pt>
                <c:pt idx="35">
                  <c:v>0.3590000000000001</c:v>
                </c:pt>
                <c:pt idx="36">
                  <c:v>0.34900000000000003</c:v>
                </c:pt>
                <c:pt idx="37">
                  <c:v>0.34800000000000003</c:v>
                </c:pt>
                <c:pt idx="38">
                  <c:v>0.27</c:v>
                </c:pt>
                <c:pt idx="39">
                  <c:v>0.24000000000000002</c:v>
                </c:pt>
                <c:pt idx="40">
                  <c:v>0.21400000000000002</c:v>
                </c:pt>
                <c:pt idx="41">
                  <c:v>0.254</c:v>
                </c:pt>
                <c:pt idx="42">
                  <c:v>0.27600000000000002</c:v>
                </c:pt>
                <c:pt idx="43">
                  <c:v>0.13600000000000001</c:v>
                </c:pt>
                <c:pt idx="44">
                  <c:v>0.15400000000000003</c:v>
                </c:pt>
                <c:pt idx="45">
                  <c:v>0.161</c:v>
                </c:pt>
                <c:pt idx="46">
                  <c:v>0.13500000000000001</c:v>
                </c:pt>
                <c:pt idx="47">
                  <c:v>0.17500000000000002</c:v>
                </c:pt>
                <c:pt idx="48">
                  <c:v>0.15400000000000003</c:v>
                </c:pt>
                <c:pt idx="49">
                  <c:v>0.15000000000000002</c:v>
                </c:pt>
                <c:pt idx="50">
                  <c:v>0.16300000000000001</c:v>
                </c:pt>
                <c:pt idx="51">
                  <c:v>0.19500000000000001</c:v>
                </c:pt>
                <c:pt idx="52">
                  <c:v>0.13</c:v>
                </c:pt>
                <c:pt idx="53">
                  <c:v>0.21000000000000002</c:v>
                </c:pt>
                <c:pt idx="54">
                  <c:v>0.22700000000000001</c:v>
                </c:pt>
                <c:pt idx="55">
                  <c:v>0.16700000000000001</c:v>
                </c:pt>
                <c:pt idx="56">
                  <c:v>0.19500000000000001</c:v>
                </c:pt>
                <c:pt idx="57">
                  <c:v>0.17500000000000002</c:v>
                </c:pt>
                <c:pt idx="58">
                  <c:v>0.23600000000000002</c:v>
                </c:pt>
                <c:pt idx="59">
                  <c:v>0.23500000000000001</c:v>
                </c:pt>
                <c:pt idx="60">
                  <c:v>0.18800000000000003</c:v>
                </c:pt>
                <c:pt idx="61">
                  <c:v>0.251</c:v>
                </c:pt>
                <c:pt idx="62">
                  <c:v>0.19800000000000001</c:v>
                </c:pt>
                <c:pt idx="63">
                  <c:v>0.22</c:v>
                </c:pt>
                <c:pt idx="64">
                  <c:v>0.16300000000000001</c:v>
                </c:pt>
                <c:pt idx="65">
                  <c:v>0.20300000000000001</c:v>
                </c:pt>
                <c:pt idx="66">
                  <c:v>0.17500000000000002</c:v>
                </c:pt>
                <c:pt idx="67">
                  <c:v>0.18700000000000003</c:v>
                </c:pt>
                <c:pt idx="68">
                  <c:v>0.161</c:v>
                </c:pt>
                <c:pt idx="69">
                  <c:v>0.2</c:v>
                </c:pt>
                <c:pt idx="70">
                  <c:v>0.20300000000000001</c:v>
                </c:pt>
                <c:pt idx="71">
                  <c:v>0.15000000000000002</c:v>
                </c:pt>
                <c:pt idx="72">
                  <c:v>0.13500000000000001</c:v>
                </c:pt>
                <c:pt idx="73">
                  <c:v>0.13300000000000001</c:v>
                </c:pt>
                <c:pt idx="74">
                  <c:v>0.129</c:v>
                </c:pt>
              </c:numCache>
            </c:numRef>
          </c:val>
          <c:smooth val="0"/>
          <c:extLst>
            <c:ext xmlns:c16="http://schemas.microsoft.com/office/drawing/2014/chart" uri="{C3380CC4-5D6E-409C-BE32-E72D297353CC}">
              <c16:uniqueId val="{00000001-9431-4F46-AA3A-B0D1D4A183DF}"/>
            </c:ext>
          </c:extLst>
        </c:ser>
        <c:ser>
          <c:idx val="2"/>
          <c:order val="2"/>
          <c:tx>
            <c:strRef>
              <c:f>Charts!$A$31</c:f>
              <c:strCache>
                <c:ptCount val="1"/>
                <c:pt idx="0">
                  <c:v>3BR</c:v>
                </c:pt>
              </c:strCache>
            </c:strRef>
          </c:tx>
          <c:spPr>
            <a:ln w="28547" cap="rnd">
              <a:solidFill>
                <a:schemeClr val="accent3"/>
              </a:solidFill>
              <a:round/>
            </a:ln>
            <a:effectLst/>
          </c:spPr>
          <c:marker>
            <c:symbol val="none"/>
          </c:marker>
          <c:cat>
            <c:strRef>
              <c:f>Charts!$B$28:$BX$28</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2014</c:v>
                </c:pt>
                <c:pt idx="64">
                  <c:v>Mar 2016</c:v>
                </c:pt>
                <c:pt idx="65">
                  <c:v>Jun 2016</c:v>
                </c:pt>
                <c:pt idx="66">
                  <c:v>Sep 2016</c:v>
                </c:pt>
                <c:pt idx="67">
                  <c:v>Dec 2016</c:v>
                </c:pt>
                <c:pt idx="68">
                  <c:v>Mar 2017</c:v>
                </c:pt>
                <c:pt idx="69">
                  <c:v>June 2017</c:v>
                </c:pt>
                <c:pt idx="70">
                  <c:v>Sep 2017</c:v>
                </c:pt>
                <c:pt idx="71">
                  <c:v>Dec 2017</c:v>
                </c:pt>
                <c:pt idx="72">
                  <c:v>Mar 2018</c:v>
                </c:pt>
                <c:pt idx="73">
                  <c:v>Jun 2018</c:v>
                </c:pt>
                <c:pt idx="74">
                  <c:v>Sep 2018</c:v>
                </c:pt>
              </c:strCache>
            </c:strRef>
          </c:cat>
          <c:val>
            <c:numRef>
              <c:f>Charts!$B$31:$BX$31</c:f>
              <c:numCache>
                <c:formatCode>0%</c:formatCode>
                <c:ptCount val="75"/>
                <c:pt idx="0">
                  <c:v>0.75900000000000012</c:v>
                </c:pt>
                <c:pt idx="1">
                  <c:v>0.76500000000000012</c:v>
                </c:pt>
                <c:pt idx="2">
                  <c:v>0.85100000000000009</c:v>
                </c:pt>
                <c:pt idx="3">
                  <c:v>0.80700000000000005</c:v>
                </c:pt>
                <c:pt idx="4">
                  <c:v>0.83600000000000008</c:v>
                </c:pt>
                <c:pt idx="5">
                  <c:v>0.79600000000000004</c:v>
                </c:pt>
                <c:pt idx="6">
                  <c:v>0.88400000000000001</c:v>
                </c:pt>
                <c:pt idx="7">
                  <c:v>0.8600000000000001</c:v>
                </c:pt>
                <c:pt idx="8">
                  <c:v>0.81499999999999995</c:v>
                </c:pt>
                <c:pt idx="9">
                  <c:v>0.8670000000000001</c:v>
                </c:pt>
                <c:pt idx="10">
                  <c:v>0.84300000000000008</c:v>
                </c:pt>
                <c:pt idx="11">
                  <c:v>0.81599999999999995</c:v>
                </c:pt>
                <c:pt idx="12">
                  <c:v>0.77400000000000013</c:v>
                </c:pt>
                <c:pt idx="13">
                  <c:v>0.78600000000000003</c:v>
                </c:pt>
                <c:pt idx="14">
                  <c:v>0.78800000000000003</c:v>
                </c:pt>
                <c:pt idx="15">
                  <c:v>0.78700000000000003</c:v>
                </c:pt>
                <c:pt idx="16">
                  <c:v>0.72200000000000009</c:v>
                </c:pt>
                <c:pt idx="17">
                  <c:v>0.78500000000000003</c:v>
                </c:pt>
                <c:pt idx="18">
                  <c:v>0.76000000000000012</c:v>
                </c:pt>
                <c:pt idx="19">
                  <c:v>0.71800000000000008</c:v>
                </c:pt>
                <c:pt idx="20">
                  <c:v>0.66800000000000015</c:v>
                </c:pt>
                <c:pt idx="21">
                  <c:v>0.71300000000000008</c:v>
                </c:pt>
                <c:pt idx="22">
                  <c:v>0.79700000000000004</c:v>
                </c:pt>
                <c:pt idx="23">
                  <c:v>0.75600000000000012</c:v>
                </c:pt>
                <c:pt idx="24">
                  <c:v>0.68899999999999995</c:v>
                </c:pt>
                <c:pt idx="25">
                  <c:v>0.7380000000000001</c:v>
                </c:pt>
                <c:pt idx="26">
                  <c:v>0.72600000000000009</c:v>
                </c:pt>
                <c:pt idx="27">
                  <c:v>0.68799999999999994</c:v>
                </c:pt>
                <c:pt idx="28">
                  <c:v>0.6150000000000001</c:v>
                </c:pt>
                <c:pt idx="29">
                  <c:v>0.70000000000000007</c:v>
                </c:pt>
                <c:pt idx="30">
                  <c:v>0.63800000000000012</c:v>
                </c:pt>
                <c:pt idx="31">
                  <c:v>0.60500000000000009</c:v>
                </c:pt>
                <c:pt idx="32">
                  <c:v>0.52500000000000002</c:v>
                </c:pt>
                <c:pt idx="33">
                  <c:v>0.52</c:v>
                </c:pt>
                <c:pt idx="34">
                  <c:v>0.59</c:v>
                </c:pt>
                <c:pt idx="35">
                  <c:v>0.504</c:v>
                </c:pt>
                <c:pt idx="36">
                  <c:v>0.47800000000000004</c:v>
                </c:pt>
                <c:pt idx="37">
                  <c:v>0.505</c:v>
                </c:pt>
                <c:pt idx="38">
                  <c:v>0.47100000000000003</c:v>
                </c:pt>
                <c:pt idx="39">
                  <c:v>0.51200000000000001</c:v>
                </c:pt>
                <c:pt idx="40">
                  <c:v>0.41500000000000004</c:v>
                </c:pt>
                <c:pt idx="41">
                  <c:v>0.41300000000000003</c:v>
                </c:pt>
                <c:pt idx="42">
                  <c:v>0.4260000000000001</c:v>
                </c:pt>
                <c:pt idx="43">
                  <c:v>0.31800000000000006</c:v>
                </c:pt>
                <c:pt idx="44">
                  <c:v>0.254</c:v>
                </c:pt>
                <c:pt idx="45">
                  <c:v>0.32400000000000007</c:v>
                </c:pt>
                <c:pt idx="46">
                  <c:v>0.32700000000000007</c:v>
                </c:pt>
                <c:pt idx="47">
                  <c:v>0.31600000000000006</c:v>
                </c:pt>
                <c:pt idx="48">
                  <c:v>0.27900000000000008</c:v>
                </c:pt>
                <c:pt idx="49">
                  <c:v>0.31900000000000006</c:v>
                </c:pt>
                <c:pt idx="50">
                  <c:v>0.33600000000000008</c:v>
                </c:pt>
                <c:pt idx="51">
                  <c:v>0.32300000000000006</c:v>
                </c:pt>
                <c:pt idx="52">
                  <c:v>0.29100000000000004</c:v>
                </c:pt>
                <c:pt idx="53">
                  <c:v>0.32800000000000007</c:v>
                </c:pt>
                <c:pt idx="54">
                  <c:v>0.34900000000000003</c:v>
                </c:pt>
                <c:pt idx="55">
                  <c:v>0.32900000000000007</c:v>
                </c:pt>
                <c:pt idx="56">
                  <c:v>0.31600000000000006</c:v>
                </c:pt>
                <c:pt idx="57">
                  <c:v>0.40700000000000003</c:v>
                </c:pt>
                <c:pt idx="58">
                  <c:v>0.39600000000000007</c:v>
                </c:pt>
                <c:pt idx="59">
                  <c:v>0.39100000000000007</c:v>
                </c:pt>
                <c:pt idx="60">
                  <c:v>0.35600000000000004</c:v>
                </c:pt>
                <c:pt idx="61">
                  <c:v>0.40900000000000003</c:v>
                </c:pt>
                <c:pt idx="62">
                  <c:v>0.38800000000000007</c:v>
                </c:pt>
                <c:pt idx="63">
                  <c:v>0.34</c:v>
                </c:pt>
                <c:pt idx="64">
                  <c:v>0.3010000000000001</c:v>
                </c:pt>
                <c:pt idx="65">
                  <c:v>0.3680000000000001</c:v>
                </c:pt>
                <c:pt idx="66">
                  <c:v>0.36000000000000004</c:v>
                </c:pt>
                <c:pt idx="67">
                  <c:v>0.35700000000000004</c:v>
                </c:pt>
                <c:pt idx="68">
                  <c:v>0.3010000000000001</c:v>
                </c:pt>
                <c:pt idx="69">
                  <c:v>0.30000000000000004</c:v>
                </c:pt>
                <c:pt idx="70">
                  <c:v>0.2980000000000001</c:v>
                </c:pt>
                <c:pt idx="71">
                  <c:v>0.25600000000000001</c:v>
                </c:pt>
                <c:pt idx="72">
                  <c:v>0.254</c:v>
                </c:pt>
                <c:pt idx="73">
                  <c:v>0.28600000000000003</c:v>
                </c:pt>
                <c:pt idx="74">
                  <c:v>0.3030000000000001</c:v>
                </c:pt>
              </c:numCache>
            </c:numRef>
          </c:val>
          <c:smooth val="0"/>
          <c:extLst>
            <c:ext xmlns:c16="http://schemas.microsoft.com/office/drawing/2014/chart" uri="{C3380CC4-5D6E-409C-BE32-E72D297353CC}">
              <c16:uniqueId val="{00000002-9431-4F46-AA3A-B0D1D4A183DF}"/>
            </c:ext>
          </c:extLst>
        </c:ser>
        <c:ser>
          <c:idx val="3"/>
          <c:order val="3"/>
          <c:tx>
            <c:strRef>
              <c:f>Charts!$A$32</c:f>
              <c:strCache>
                <c:ptCount val="1"/>
                <c:pt idx="0">
                  <c:v>4BR</c:v>
                </c:pt>
              </c:strCache>
            </c:strRef>
          </c:tx>
          <c:spPr>
            <a:ln w="28547" cap="rnd">
              <a:solidFill>
                <a:schemeClr val="accent4"/>
              </a:solidFill>
              <a:round/>
            </a:ln>
            <a:effectLst/>
          </c:spPr>
          <c:marker>
            <c:symbol val="none"/>
          </c:marker>
          <c:cat>
            <c:strRef>
              <c:f>Charts!$B$28:$BX$28</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Dec2013</c:v>
                </c:pt>
                <c:pt idx="56">
                  <c:v>Mar 2014</c:v>
                </c:pt>
                <c:pt idx="57">
                  <c:v>Jun 2014</c:v>
                </c:pt>
                <c:pt idx="58">
                  <c:v>Sep 2014</c:v>
                </c:pt>
                <c:pt idx="59">
                  <c:v>Dec 2014</c:v>
                </c:pt>
                <c:pt idx="60">
                  <c:v>Mar 2015</c:v>
                </c:pt>
                <c:pt idx="61">
                  <c:v>Jun 2015</c:v>
                </c:pt>
                <c:pt idx="62">
                  <c:v>Sep 2015</c:v>
                </c:pt>
                <c:pt idx="63">
                  <c:v>Dec 2014</c:v>
                </c:pt>
                <c:pt idx="64">
                  <c:v>Mar 2016</c:v>
                </c:pt>
                <c:pt idx="65">
                  <c:v>Jun 2016</c:v>
                </c:pt>
                <c:pt idx="66">
                  <c:v>Sep 2016</c:v>
                </c:pt>
                <c:pt idx="67">
                  <c:v>Dec 2016</c:v>
                </c:pt>
                <c:pt idx="68">
                  <c:v>Mar 2017</c:v>
                </c:pt>
                <c:pt idx="69">
                  <c:v>June 2017</c:v>
                </c:pt>
                <c:pt idx="70">
                  <c:v>Sep 2017</c:v>
                </c:pt>
                <c:pt idx="71">
                  <c:v>Dec 2017</c:v>
                </c:pt>
                <c:pt idx="72">
                  <c:v>Mar 2018</c:v>
                </c:pt>
                <c:pt idx="73">
                  <c:v>Jun 2018</c:v>
                </c:pt>
                <c:pt idx="74">
                  <c:v>Sep 2018</c:v>
                </c:pt>
              </c:strCache>
            </c:strRef>
          </c:cat>
          <c:val>
            <c:numRef>
              <c:f>Charts!$B$32:$BX$32</c:f>
              <c:numCache>
                <c:formatCode>0%</c:formatCode>
                <c:ptCount val="75"/>
                <c:pt idx="0">
                  <c:v>0.54700000000000004</c:v>
                </c:pt>
                <c:pt idx="1">
                  <c:v>0.65900000000000014</c:v>
                </c:pt>
                <c:pt idx="2">
                  <c:v>0.63900000000000012</c:v>
                </c:pt>
                <c:pt idx="3">
                  <c:v>0.58799999999999997</c:v>
                </c:pt>
                <c:pt idx="4">
                  <c:v>0.65600000000000014</c:v>
                </c:pt>
                <c:pt idx="5">
                  <c:v>0.59699999999999998</c:v>
                </c:pt>
                <c:pt idx="6">
                  <c:v>0.7380000000000001</c:v>
                </c:pt>
                <c:pt idx="7">
                  <c:v>0.7320000000000001</c:v>
                </c:pt>
                <c:pt idx="8">
                  <c:v>0.72500000000000009</c:v>
                </c:pt>
                <c:pt idx="9">
                  <c:v>0.68500000000000005</c:v>
                </c:pt>
                <c:pt idx="10">
                  <c:v>0.67100000000000015</c:v>
                </c:pt>
                <c:pt idx="11">
                  <c:v>0.77600000000000013</c:v>
                </c:pt>
                <c:pt idx="12">
                  <c:v>0.76900000000000013</c:v>
                </c:pt>
                <c:pt idx="13">
                  <c:v>0.63900000000000012</c:v>
                </c:pt>
                <c:pt idx="14">
                  <c:v>0.65800000000000014</c:v>
                </c:pt>
                <c:pt idx="15">
                  <c:v>0.62500000000000011</c:v>
                </c:pt>
                <c:pt idx="16">
                  <c:v>0.58599999999999997</c:v>
                </c:pt>
                <c:pt idx="17">
                  <c:v>0.69599999999999995</c:v>
                </c:pt>
                <c:pt idx="18">
                  <c:v>0.65900000000000014</c:v>
                </c:pt>
                <c:pt idx="19">
                  <c:v>0.66700000000000015</c:v>
                </c:pt>
                <c:pt idx="20">
                  <c:v>0.57500000000000007</c:v>
                </c:pt>
                <c:pt idx="21">
                  <c:v>0.68700000000000017</c:v>
                </c:pt>
                <c:pt idx="22">
                  <c:v>0.66000000000000014</c:v>
                </c:pt>
                <c:pt idx="23">
                  <c:v>0.59299999999999997</c:v>
                </c:pt>
                <c:pt idx="24">
                  <c:v>0.67200000000000015</c:v>
                </c:pt>
                <c:pt idx="25">
                  <c:v>0.69699999999999995</c:v>
                </c:pt>
                <c:pt idx="26">
                  <c:v>0.69099999999999995</c:v>
                </c:pt>
                <c:pt idx="27">
                  <c:v>0.68100000000000005</c:v>
                </c:pt>
                <c:pt idx="28">
                  <c:v>0.60400000000000009</c:v>
                </c:pt>
                <c:pt idx="29">
                  <c:v>0.62500000000000011</c:v>
                </c:pt>
                <c:pt idx="30">
                  <c:v>0.59399999999999997</c:v>
                </c:pt>
                <c:pt idx="31">
                  <c:v>0.52600000000000002</c:v>
                </c:pt>
                <c:pt idx="32">
                  <c:v>0.50900000000000001</c:v>
                </c:pt>
                <c:pt idx="33">
                  <c:v>0.62000000000000011</c:v>
                </c:pt>
                <c:pt idx="34">
                  <c:v>0.48300000000000004</c:v>
                </c:pt>
                <c:pt idx="35">
                  <c:v>0.5</c:v>
                </c:pt>
                <c:pt idx="36">
                  <c:v>0.38100000000000006</c:v>
                </c:pt>
                <c:pt idx="37">
                  <c:v>0.52400000000000002</c:v>
                </c:pt>
                <c:pt idx="38">
                  <c:v>0.55200000000000005</c:v>
                </c:pt>
                <c:pt idx="39">
                  <c:v>0.47400000000000003</c:v>
                </c:pt>
                <c:pt idx="40">
                  <c:v>0.38100000000000006</c:v>
                </c:pt>
                <c:pt idx="41">
                  <c:v>0.37700000000000006</c:v>
                </c:pt>
                <c:pt idx="42">
                  <c:v>0.3680000000000001</c:v>
                </c:pt>
                <c:pt idx="43">
                  <c:v>0.38900000000000007</c:v>
                </c:pt>
                <c:pt idx="44">
                  <c:v>0.38500000000000006</c:v>
                </c:pt>
                <c:pt idx="45">
                  <c:v>0.3630000000000001</c:v>
                </c:pt>
                <c:pt idx="46">
                  <c:v>0.35300000000000004</c:v>
                </c:pt>
                <c:pt idx="47">
                  <c:v>0.25600000000000001</c:v>
                </c:pt>
                <c:pt idx="48">
                  <c:v>0.35200000000000004</c:v>
                </c:pt>
                <c:pt idx="49">
                  <c:v>0.33300000000000007</c:v>
                </c:pt>
                <c:pt idx="50">
                  <c:v>0.40900000000000003</c:v>
                </c:pt>
                <c:pt idx="51">
                  <c:v>0.33500000000000008</c:v>
                </c:pt>
                <c:pt idx="52">
                  <c:v>0.442</c:v>
                </c:pt>
                <c:pt idx="53">
                  <c:v>0.38100000000000006</c:v>
                </c:pt>
                <c:pt idx="54">
                  <c:v>0.38800000000000007</c:v>
                </c:pt>
                <c:pt idx="55">
                  <c:v>0.35800000000000004</c:v>
                </c:pt>
                <c:pt idx="56">
                  <c:v>0.40800000000000003</c:v>
                </c:pt>
                <c:pt idx="57">
                  <c:v>0.39900000000000008</c:v>
                </c:pt>
                <c:pt idx="58">
                  <c:v>0.37800000000000006</c:v>
                </c:pt>
                <c:pt idx="59">
                  <c:v>0.45200000000000001</c:v>
                </c:pt>
                <c:pt idx="60">
                  <c:v>0.46300000000000002</c:v>
                </c:pt>
                <c:pt idx="61">
                  <c:v>0.46400000000000002</c:v>
                </c:pt>
                <c:pt idx="62">
                  <c:v>0.44400000000000001</c:v>
                </c:pt>
                <c:pt idx="63">
                  <c:v>0.41700000000000004</c:v>
                </c:pt>
                <c:pt idx="64">
                  <c:v>0.38700000000000007</c:v>
                </c:pt>
                <c:pt idx="65">
                  <c:v>0.38900000000000007</c:v>
                </c:pt>
                <c:pt idx="66">
                  <c:v>0.38500000000000006</c:v>
                </c:pt>
                <c:pt idx="67">
                  <c:v>0.31600000000000006</c:v>
                </c:pt>
                <c:pt idx="68">
                  <c:v>0.32300000000000006</c:v>
                </c:pt>
                <c:pt idx="69">
                  <c:v>0.2960000000000001</c:v>
                </c:pt>
                <c:pt idx="70">
                  <c:v>0.30700000000000005</c:v>
                </c:pt>
                <c:pt idx="71">
                  <c:v>0.30800000000000005</c:v>
                </c:pt>
                <c:pt idx="72">
                  <c:v>0.28300000000000003</c:v>
                </c:pt>
                <c:pt idx="73">
                  <c:v>0.21700000000000003</c:v>
                </c:pt>
                <c:pt idx="74">
                  <c:v>0.20100000000000001</c:v>
                </c:pt>
              </c:numCache>
            </c:numRef>
          </c:val>
          <c:smooth val="0"/>
          <c:extLst>
            <c:ext xmlns:c16="http://schemas.microsoft.com/office/drawing/2014/chart" uri="{C3380CC4-5D6E-409C-BE32-E72D297353CC}">
              <c16:uniqueId val="{00000003-9431-4F46-AA3A-B0D1D4A183DF}"/>
            </c:ext>
          </c:extLst>
        </c:ser>
        <c:dLbls>
          <c:showLegendKey val="0"/>
          <c:showVal val="0"/>
          <c:showCatName val="0"/>
          <c:showSerName val="0"/>
          <c:showPercent val="0"/>
          <c:showBubbleSize val="0"/>
        </c:dLbls>
        <c:smooth val="0"/>
        <c:axId val="666557184"/>
        <c:axId val="666558360"/>
      </c:lineChart>
      <c:catAx>
        <c:axId val="666557184"/>
        <c:scaling>
          <c:orientation val="minMax"/>
        </c:scaling>
        <c:delete val="0"/>
        <c:axPos val="b"/>
        <c:title>
          <c:tx>
            <c:rich>
              <a:bodyPr/>
              <a:lstStyle/>
              <a:p>
                <a:pPr>
                  <a:defRPr sz="995" b="1" i="0" u="none" strike="noStrike" baseline="0">
                    <a:solidFill>
                      <a:srgbClr val="333333"/>
                    </a:solidFill>
                    <a:latin typeface="Calibri"/>
                    <a:ea typeface="Calibri"/>
                    <a:cs typeface="Calibri"/>
                  </a:defRPr>
                </a:pPr>
                <a:r>
                  <a:rPr lang="en-AU"/>
                  <a:t>Year</a:t>
                </a:r>
              </a:p>
            </c:rich>
          </c:tx>
          <c:overlay val="0"/>
          <c:spPr>
            <a:noFill/>
            <a:ln w="25395">
              <a:noFill/>
            </a:ln>
          </c:spPr>
        </c:title>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en-US"/>
          </a:p>
        </c:txPr>
        <c:crossAx val="666558360"/>
        <c:crosses val="autoZero"/>
        <c:auto val="1"/>
        <c:lblAlgn val="ctr"/>
        <c:lblOffset val="100"/>
        <c:noMultiLvlLbl val="0"/>
      </c:catAx>
      <c:valAx>
        <c:axId val="666558360"/>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995" b="1" i="0" u="none" strike="noStrike" baseline="0">
                    <a:solidFill>
                      <a:srgbClr val="333333"/>
                    </a:solidFill>
                    <a:latin typeface="Calibri"/>
                    <a:ea typeface="Calibri"/>
                    <a:cs typeface="Calibri"/>
                  </a:defRPr>
                </a:pPr>
                <a:r>
                  <a:rPr lang="en-AU"/>
                  <a:t>Affordability</a:t>
                </a:r>
              </a:p>
            </c:rich>
          </c:tx>
          <c:overlay val="0"/>
          <c:spPr>
            <a:noFill/>
            <a:ln w="25395">
              <a:noFill/>
            </a:ln>
          </c:spPr>
        </c:title>
        <c:numFmt formatCode="0%" sourceLinked="1"/>
        <c:majorTickMark val="none"/>
        <c:minorTickMark val="none"/>
        <c:tickLblPos val="nextTo"/>
        <c:spPr>
          <a:ln w="9523">
            <a:noFill/>
          </a:ln>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en-US"/>
          </a:p>
        </c:txPr>
        <c:crossAx val="666557184"/>
        <c:crosses val="autoZero"/>
        <c:crossBetween val="between"/>
      </c:valAx>
      <c:spPr>
        <a:noFill/>
        <a:ln w="25395">
          <a:noFill/>
        </a:ln>
      </c:spPr>
    </c:plotArea>
    <c:legend>
      <c:legendPos val="b"/>
      <c:overlay val="0"/>
      <c:spPr>
        <a:noFill/>
        <a:ln w="25395">
          <a:noFill/>
        </a:ln>
      </c:spPr>
      <c:txPr>
        <a:bodyPr rot="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b="1" i="0" baseline="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408348457350272"/>
          <c:y val="3.4482758620689655E-2"/>
          <c:w val="0.6715063520871144"/>
          <c:h val="0.40394088669950745"/>
        </c:manualLayout>
      </c:layout>
      <c:barChart>
        <c:barDir val="col"/>
        <c:grouping val="clustered"/>
        <c:varyColors val="0"/>
        <c:ser>
          <c:idx val="1"/>
          <c:order val="0"/>
          <c:tx>
            <c:strRef>
              <c:f>'median rent'!$K$72</c:f>
              <c:strCache>
                <c:ptCount val="1"/>
                <c:pt idx="0">
                  <c:v>2011</c:v>
                </c:pt>
              </c:strCache>
            </c:strRef>
          </c:tx>
          <c:spPr>
            <a:solidFill>
              <a:srgbClr val="ED7D31"/>
            </a:solidFill>
            <a:ln w="19130">
              <a:noFill/>
            </a:ln>
          </c:spPr>
          <c:invertIfNegative val="0"/>
          <c:cat>
            <c:strRef>
              <c:f>'median rent'!$I$73:$I$87</c:f>
              <c:strCache>
                <c:ptCount val="15"/>
                <c:pt idx="0">
                  <c:v>1 Armstrong Ck Mt Duneed; Marshall Charlemont</c:v>
                </c:pt>
                <c:pt idx="1">
                  <c:v>2 Barwon Heads Ocean Grove Rural Bellarine</c:v>
                </c:pt>
                <c:pt idx="2">
                  <c:v>3 Clifton Springs Curlewis Drysdale</c:v>
                </c:pt>
                <c:pt idx="3">
                  <c:v>4 Portarlington Indented Head</c:v>
                </c:pt>
                <c:pt idx="4">
                  <c:v>5 Leopold</c:v>
                </c:pt>
                <c:pt idx="5">
                  <c:v>6 Newcombe Sth Geelong St Albans Whittington</c:v>
                </c:pt>
                <c:pt idx="6">
                  <c:v>7 Grovedale Waurn Ponds</c:v>
                </c:pt>
                <c:pt idx="7">
                  <c:v>8 Belmont Highton</c:v>
                </c:pt>
                <c:pt idx="8">
                  <c:v>9 Geelong East Geelong</c:v>
                </c:pt>
                <c:pt idx="9">
                  <c:v>10 Geelong West Newtown</c:v>
                </c:pt>
                <c:pt idx="10">
                  <c:v>11 Bell Park Bell Post Hill Nth Geelong</c:v>
                </c:pt>
                <c:pt idx="11">
                  <c:v>12 Hamlyn Heights Fyansford</c:v>
                </c:pt>
                <c:pt idx="12">
                  <c:v>13 Corio and Norlane</c:v>
                </c:pt>
                <c:pt idx="13">
                  <c:v>14 Lara</c:v>
                </c:pt>
                <c:pt idx="14">
                  <c:v>15 Lovely Banks Rural North</c:v>
                </c:pt>
              </c:strCache>
            </c:strRef>
          </c:cat>
          <c:val>
            <c:numRef>
              <c:f>'median rent'!$K$73:$K$87</c:f>
              <c:numCache>
                <c:formatCode>0</c:formatCode>
                <c:ptCount val="15"/>
                <c:pt idx="0">
                  <c:v>209.89573361082202</c:v>
                </c:pt>
                <c:pt idx="1">
                  <c:v>269.14259073303697</c:v>
                </c:pt>
                <c:pt idx="2">
                  <c:v>219.79235392078778</c:v>
                </c:pt>
                <c:pt idx="3">
                  <c:v>218.60152596603496</c:v>
                </c:pt>
                <c:pt idx="4">
                  <c:v>222</c:v>
                </c:pt>
                <c:pt idx="5">
                  <c:v>231.74741346758969</c:v>
                </c:pt>
                <c:pt idx="6">
                  <c:v>191.96675157527818</c:v>
                </c:pt>
                <c:pt idx="7">
                  <c:v>266.11477238811273</c:v>
                </c:pt>
                <c:pt idx="8">
                  <c:v>256.65032679738562</c:v>
                </c:pt>
                <c:pt idx="9">
                  <c:v>261.31386861313877</c:v>
                </c:pt>
                <c:pt idx="10">
                  <c:v>243.58756</c:v>
                </c:pt>
                <c:pt idx="11">
                  <c:v>268</c:v>
                </c:pt>
                <c:pt idx="12">
                  <c:v>227.25265168983458</c:v>
                </c:pt>
                <c:pt idx="13">
                  <c:v>231</c:v>
                </c:pt>
                <c:pt idx="14">
                  <c:v>235.12786021356257</c:v>
                </c:pt>
              </c:numCache>
            </c:numRef>
          </c:val>
          <c:extLst>
            <c:ext xmlns:c16="http://schemas.microsoft.com/office/drawing/2014/chart" uri="{C3380CC4-5D6E-409C-BE32-E72D297353CC}">
              <c16:uniqueId val="{00000000-A547-48E4-9BF1-E2AEE229984A}"/>
            </c:ext>
          </c:extLst>
        </c:ser>
        <c:ser>
          <c:idx val="2"/>
          <c:order val="1"/>
          <c:tx>
            <c:strRef>
              <c:f>'median rent'!$L$72</c:f>
              <c:strCache>
                <c:ptCount val="1"/>
                <c:pt idx="0">
                  <c:v>2016</c:v>
                </c:pt>
              </c:strCache>
            </c:strRef>
          </c:tx>
          <c:spPr>
            <a:solidFill>
              <a:srgbClr val="A5A5A5"/>
            </a:solidFill>
            <a:ln w="19130">
              <a:noFill/>
            </a:ln>
          </c:spPr>
          <c:invertIfNegative val="0"/>
          <c:cat>
            <c:strRef>
              <c:f>'median rent'!$I$73:$I$87</c:f>
              <c:strCache>
                <c:ptCount val="15"/>
                <c:pt idx="0">
                  <c:v>1 Armstrong Ck Mt Duneed; Marshall Charlemont</c:v>
                </c:pt>
                <c:pt idx="1">
                  <c:v>2 Barwon Heads Ocean Grove Rural Bellarine</c:v>
                </c:pt>
                <c:pt idx="2">
                  <c:v>3 Clifton Springs Curlewis Drysdale</c:v>
                </c:pt>
                <c:pt idx="3">
                  <c:v>4 Portarlington Indented Head</c:v>
                </c:pt>
                <c:pt idx="4">
                  <c:v>5 Leopold</c:v>
                </c:pt>
                <c:pt idx="5">
                  <c:v>6 Newcombe Sth Geelong St Albans Whittington</c:v>
                </c:pt>
                <c:pt idx="6">
                  <c:v>7 Grovedale Waurn Ponds</c:v>
                </c:pt>
                <c:pt idx="7">
                  <c:v>8 Belmont Highton</c:v>
                </c:pt>
                <c:pt idx="8">
                  <c:v>9 Geelong East Geelong</c:v>
                </c:pt>
                <c:pt idx="9">
                  <c:v>10 Geelong West Newtown</c:v>
                </c:pt>
                <c:pt idx="10">
                  <c:v>11 Bell Park Bell Post Hill Nth Geelong</c:v>
                </c:pt>
                <c:pt idx="11">
                  <c:v>12 Hamlyn Heights Fyansford</c:v>
                </c:pt>
                <c:pt idx="12">
                  <c:v>13 Corio and Norlane</c:v>
                </c:pt>
                <c:pt idx="13">
                  <c:v>14 Lara</c:v>
                </c:pt>
                <c:pt idx="14">
                  <c:v>15 Lovely Banks Rural North</c:v>
                </c:pt>
              </c:strCache>
            </c:strRef>
          </c:cat>
          <c:val>
            <c:numRef>
              <c:f>'median rent'!$L$73:$L$87</c:f>
              <c:numCache>
                <c:formatCode>0</c:formatCode>
                <c:ptCount val="15"/>
                <c:pt idx="0">
                  <c:v>378.77453217708802</c:v>
                </c:pt>
                <c:pt idx="1">
                  <c:v>351.93206500754673</c:v>
                </c:pt>
                <c:pt idx="2">
                  <c:v>305.57565415244596</c:v>
                </c:pt>
                <c:pt idx="3">
                  <c:v>278.93103448275855</c:v>
                </c:pt>
                <c:pt idx="4">
                  <c:v>336</c:v>
                </c:pt>
                <c:pt idx="5">
                  <c:v>265.82545649838875</c:v>
                </c:pt>
                <c:pt idx="6">
                  <c:v>329.88823094004431</c:v>
                </c:pt>
                <c:pt idx="7">
                  <c:v>309.20454545454544</c:v>
                </c:pt>
                <c:pt idx="8">
                  <c:v>314.43935926773446</c:v>
                </c:pt>
                <c:pt idx="9">
                  <c:v>297.42243645924623</c:v>
                </c:pt>
                <c:pt idx="10">
                  <c:v>288.24026451138872</c:v>
                </c:pt>
                <c:pt idx="11">
                  <c:v>273.83168316831689</c:v>
                </c:pt>
                <c:pt idx="12">
                  <c:v>231.75030303030303</c:v>
                </c:pt>
                <c:pt idx="13">
                  <c:v>318</c:v>
                </c:pt>
                <c:pt idx="14">
                  <c:v>280.6666666666668</c:v>
                </c:pt>
              </c:numCache>
            </c:numRef>
          </c:val>
          <c:extLst>
            <c:ext xmlns:c16="http://schemas.microsoft.com/office/drawing/2014/chart" uri="{C3380CC4-5D6E-409C-BE32-E72D297353CC}">
              <c16:uniqueId val="{00000001-A547-48E4-9BF1-E2AEE229984A}"/>
            </c:ext>
          </c:extLst>
        </c:ser>
        <c:dLbls>
          <c:showLegendKey val="0"/>
          <c:showVal val="0"/>
          <c:showCatName val="0"/>
          <c:showSerName val="0"/>
          <c:showPercent val="0"/>
          <c:showBubbleSize val="0"/>
        </c:dLbls>
        <c:gapWidth val="219"/>
        <c:overlap val="-27"/>
        <c:axId val="666553656"/>
        <c:axId val="661452712"/>
      </c:barChart>
      <c:lineChart>
        <c:grouping val="standard"/>
        <c:varyColors val="0"/>
        <c:ser>
          <c:idx val="3"/>
          <c:order val="2"/>
          <c:tx>
            <c:strRef>
              <c:f>'median rent'!$M$72</c:f>
              <c:strCache>
                <c:ptCount val="1"/>
                <c:pt idx="0">
                  <c:v>Pct increase</c:v>
                </c:pt>
              </c:strCache>
            </c:strRef>
          </c:tx>
          <c:spPr>
            <a:ln w="21502" cap="rnd">
              <a:solidFill>
                <a:schemeClr val="accent4"/>
              </a:solidFill>
              <a:round/>
            </a:ln>
            <a:effectLst/>
          </c:spPr>
          <c:marker>
            <c:symbol val="none"/>
          </c:marker>
          <c:cat>
            <c:strRef>
              <c:f>'median rent'!$I$73:$I$87</c:f>
              <c:strCache>
                <c:ptCount val="15"/>
                <c:pt idx="0">
                  <c:v>1 Armstrong Ck Mt Duneed; Marshall Charlemont</c:v>
                </c:pt>
                <c:pt idx="1">
                  <c:v>2 Barwon Heads Ocean Grove Rural Bellarine</c:v>
                </c:pt>
                <c:pt idx="2">
                  <c:v>3 Clifton Springs Curlewis Drysdale</c:v>
                </c:pt>
                <c:pt idx="3">
                  <c:v>4 Portarlington Indented Head</c:v>
                </c:pt>
                <c:pt idx="4">
                  <c:v>5 Leopold</c:v>
                </c:pt>
                <c:pt idx="5">
                  <c:v>6 Newcombe Sth Geelong St Albans Whittington</c:v>
                </c:pt>
                <c:pt idx="6">
                  <c:v>7 Grovedale Waurn Ponds</c:v>
                </c:pt>
                <c:pt idx="7">
                  <c:v>8 Belmont Highton</c:v>
                </c:pt>
                <c:pt idx="8">
                  <c:v>9 Geelong East Geelong</c:v>
                </c:pt>
                <c:pt idx="9">
                  <c:v>10 Geelong West Newtown</c:v>
                </c:pt>
                <c:pt idx="10">
                  <c:v>11 Bell Park Bell Post Hill Nth Geelong</c:v>
                </c:pt>
                <c:pt idx="11">
                  <c:v>12 Hamlyn Heights Fyansford</c:v>
                </c:pt>
                <c:pt idx="12">
                  <c:v>13 Corio and Norlane</c:v>
                </c:pt>
                <c:pt idx="13">
                  <c:v>14 Lara</c:v>
                </c:pt>
                <c:pt idx="14">
                  <c:v>15 Lovely Banks Rural North</c:v>
                </c:pt>
              </c:strCache>
            </c:strRef>
          </c:cat>
          <c:val>
            <c:numRef>
              <c:f>'median rent'!$M$73:$M$87</c:f>
              <c:numCache>
                <c:formatCode>0%</c:formatCode>
                <c:ptCount val="15"/>
                <c:pt idx="0">
                  <c:v>0.80458423647329835</c:v>
                </c:pt>
                <c:pt idx="1">
                  <c:v>0.30760450826093516</c:v>
                </c:pt>
                <c:pt idx="2">
                  <c:v>0.39029246787435612</c:v>
                </c:pt>
                <c:pt idx="3">
                  <c:v>0.27597935673192553</c:v>
                </c:pt>
                <c:pt idx="4">
                  <c:v>0.5135135135135136</c:v>
                </c:pt>
                <c:pt idx="5">
                  <c:v>0.14704821305617283</c:v>
                </c:pt>
                <c:pt idx="6">
                  <c:v>0.71846545421529118</c:v>
                </c:pt>
                <c:pt idx="7">
                  <c:v>0.1619217628534684</c:v>
                </c:pt>
                <c:pt idx="8">
                  <c:v>0.22516640906508911</c:v>
                </c:pt>
                <c:pt idx="9">
                  <c:v>0.13818083226024402</c:v>
                </c:pt>
                <c:pt idx="10">
                  <c:v>0.18331274598501124</c:v>
                </c:pt>
                <c:pt idx="11">
                  <c:v>2.176001182207777E-2</c:v>
                </c:pt>
                <c:pt idx="12">
                  <c:v>1.9791414124430199E-2</c:v>
                </c:pt>
                <c:pt idx="13">
                  <c:v>0.37662337662337669</c:v>
                </c:pt>
                <c:pt idx="14">
                  <c:v>0.19367677829306124</c:v>
                </c:pt>
              </c:numCache>
            </c:numRef>
          </c:val>
          <c:smooth val="0"/>
          <c:extLst>
            <c:ext xmlns:c16="http://schemas.microsoft.com/office/drawing/2014/chart" uri="{C3380CC4-5D6E-409C-BE32-E72D297353CC}">
              <c16:uniqueId val="{00000002-A547-48E4-9BF1-E2AEE229984A}"/>
            </c:ext>
          </c:extLst>
        </c:ser>
        <c:dLbls>
          <c:showLegendKey val="0"/>
          <c:showVal val="0"/>
          <c:showCatName val="0"/>
          <c:showSerName val="0"/>
          <c:showPercent val="0"/>
          <c:showBubbleSize val="0"/>
        </c:dLbls>
        <c:marker val="1"/>
        <c:smooth val="0"/>
        <c:axId val="661457808"/>
        <c:axId val="661451536"/>
      </c:lineChart>
      <c:catAx>
        <c:axId val="666553656"/>
        <c:scaling>
          <c:orientation val="minMax"/>
        </c:scaling>
        <c:delete val="0"/>
        <c:axPos val="b"/>
        <c:numFmt formatCode="General" sourceLinked="1"/>
        <c:majorTickMark val="none"/>
        <c:minorTickMark val="none"/>
        <c:tickLblPos val="nextTo"/>
        <c:spPr>
          <a:noFill/>
          <a:ln w="7167" cap="flat" cmpd="sng" algn="ctr">
            <a:solidFill>
              <a:schemeClr val="tx1">
                <a:lumMod val="15000"/>
                <a:lumOff val="85000"/>
              </a:schemeClr>
            </a:solidFill>
            <a:round/>
          </a:ln>
          <a:effectLst/>
        </c:spPr>
        <c:txPr>
          <a:bodyPr rot="-60000000" spcFirstLastPara="1" vertOverflow="ellipsis" vert="horz" wrap="square" anchor="ctr" anchorCtr="1"/>
          <a:lstStyle/>
          <a:p>
            <a:pPr>
              <a:defRPr sz="677" b="1" i="0" u="none" strike="noStrike" kern="1200" baseline="0">
                <a:solidFill>
                  <a:schemeClr val="tx1">
                    <a:lumMod val="65000"/>
                    <a:lumOff val="35000"/>
                  </a:schemeClr>
                </a:solidFill>
                <a:latin typeface="+mn-lt"/>
                <a:ea typeface="+mn-ea"/>
                <a:cs typeface="+mn-cs"/>
              </a:defRPr>
            </a:pPr>
            <a:endParaRPr lang="en-US"/>
          </a:p>
        </c:txPr>
        <c:crossAx val="661452712"/>
        <c:crosses val="autoZero"/>
        <c:auto val="1"/>
        <c:lblAlgn val="ctr"/>
        <c:lblOffset val="100"/>
        <c:noMultiLvlLbl val="0"/>
      </c:catAx>
      <c:valAx>
        <c:axId val="661452712"/>
        <c:scaling>
          <c:orientation val="minMax"/>
        </c:scaling>
        <c:delete val="0"/>
        <c:axPos val="l"/>
        <c:majorGridlines>
          <c:spPr>
            <a:ln w="7167" cap="flat" cmpd="sng" algn="ctr">
              <a:solidFill>
                <a:schemeClr val="tx1">
                  <a:lumMod val="15000"/>
                  <a:lumOff val="85000"/>
                </a:schemeClr>
              </a:solidFill>
              <a:round/>
            </a:ln>
            <a:effectLst/>
          </c:spPr>
        </c:majorGridlines>
        <c:title>
          <c:tx>
            <c:rich>
              <a:bodyPr/>
              <a:lstStyle/>
              <a:p>
                <a:pPr>
                  <a:defRPr sz="747" b="1" i="0" u="none" strike="noStrike" baseline="0">
                    <a:solidFill>
                      <a:srgbClr val="333333"/>
                    </a:solidFill>
                    <a:latin typeface="Calibri"/>
                    <a:ea typeface="Calibri"/>
                    <a:cs typeface="Calibri"/>
                  </a:defRPr>
                </a:pPr>
                <a:r>
                  <a:rPr lang="en-AU"/>
                  <a:t>Median rent ($ per week)</a:t>
                </a:r>
              </a:p>
            </c:rich>
          </c:tx>
          <c:overlay val="0"/>
          <c:spPr>
            <a:noFill/>
            <a:ln w="19130">
              <a:noFill/>
            </a:ln>
          </c:spPr>
        </c:title>
        <c:numFmt formatCode="0" sourceLinked="1"/>
        <c:majorTickMark val="none"/>
        <c:minorTickMark val="none"/>
        <c:tickLblPos val="nextTo"/>
        <c:spPr>
          <a:ln w="4783">
            <a:noFill/>
          </a:ln>
        </c:spPr>
        <c:txPr>
          <a:bodyPr rot="-60000000" spcFirstLastPara="1" vertOverflow="ellipsis" vert="horz" wrap="square" anchor="ctr" anchorCtr="1"/>
          <a:lstStyle/>
          <a:p>
            <a:pPr>
              <a:defRPr sz="677" b="1" i="0" u="none" strike="noStrike" kern="1200" baseline="0">
                <a:solidFill>
                  <a:schemeClr val="tx1">
                    <a:lumMod val="65000"/>
                    <a:lumOff val="35000"/>
                  </a:schemeClr>
                </a:solidFill>
                <a:latin typeface="+mn-lt"/>
                <a:ea typeface="+mn-ea"/>
                <a:cs typeface="+mn-cs"/>
              </a:defRPr>
            </a:pPr>
            <a:endParaRPr lang="en-US"/>
          </a:p>
        </c:txPr>
        <c:crossAx val="666553656"/>
        <c:crosses val="autoZero"/>
        <c:crossBetween val="between"/>
      </c:valAx>
      <c:catAx>
        <c:axId val="661457808"/>
        <c:scaling>
          <c:orientation val="minMax"/>
        </c:scaling>
        <c:delete val="1"/>
        <c:axPos val="b"/>
        <c:numFmt formatCode="General" sourceLinked="1"/>
        <c:majorTickMark val="out"/>
        <c:minorTickMark val="none"/>
        <c:tickLblPos val="nextTo"/>
        <c:crossAx val="661451536"/>
        <c:crosses val="autoZero"/>
        <c:auto val="1"/>
        <c:lblAlgn val="ctr"/>
        <c:lblOffset val="100"/>
        <c:noMultiLvlLbl val="0"/>
      </c:catAx>
      <c:valAx>
        <c:axId val="661451536"/>
        <c:scaling>
          <c:orientation val="minMax"/>
        </c:scaling>
        <c:delete val="0"/>
        <c:axPos val="r"/>
        <c:numFmt formatCode="0%" sourceLinked="1"/>
        <c:majorTickMark val="none"/>
        <c:minorTickMark val="none"/>
        <c:tickLblPos val="nextTo"/>
        <c:spPr>
          <a:ln w="4783">
            <a:noFill/>
          </a:ln>
        </c:spPr>
        <c:txPr>
          <a:bodyPr rot="-60000000" spcFirstLastPara="1" vertOverflow="ellipsis" vert="horz" wrap="square" anchor="ctr" anchorCtr="1"/>
          <a:lstStyle/>
          <a:p>
            <a:pPr>
              <a:defRPr sz="677" b="1" i="0" u="none" strike="noStrike" kern="1200" baseline="0">
                <a:solidFill>
                  <a:schemeClr val="tx1">
                    <a:lumMod val="65000"/>
                    <a:lumOff val="35000"/>
                  </a:schemeClr>
                </a:solidFill>
                <a:latin typeface="+mn-lt"/>
                <a:ea typeface="+mn-ea"/>
                <a:cs typeface="+mn-cs"/>
              </a:defRPr>
            </a:pPr>
            <a:endParaRPr lang="en-US"/>
          </a:p>
        </c:txPr>
        <c:crossAx val="661457808"/>
        <c:crosses val="max"/>
        <c:crossBetween val="between"/>
      </c:valAx>
      <c:spPr>
        <a:noFill/>
        <a:ln w="19080">
          <a:noFill/>
        </a:ln>
      </c:spPr>
    </c:plotArea>
    <c:legend>
      <c:legendPos val="b"/>
      <c:overlay val="0"/>
      <c:spPr>
        <a:noFill/>
        <a:ln w="19130">
          <a:noFill/>
        </a:ln>
      </c:spPr>
      <c:txPr>
        <a:bodyPr rot="0" spcFirstLastPara="1" vertOverflow="ellipsis" vert="horz" wrap="square" anchor="ctr" anchorCtr="1"/>
        <a:lstStyle/>
        <a:p>
          <a:pPr>
            <a:defRPr sz="677"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66" cap="flat" cmpd="sng" algn="ctr">
      <a:solidFill>
        <a:sysClr val="windowText" lastClr="000000">
          <a:lumMod val="15000"/>
          <a:lumOff val="85000"/>
        </a:sysClr>
      </a:solidFill>
      <a:round/>
    </a:ln>
    <a:effectLst/>
  </c:spPr>
  <c:txPr>
    <a:bodyPr/>
    <a:lstStyle/>
    <a:p>
      <a:pPr>
        <a:defRPr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28744939271255"/>
          <c:y val="2.6315789473684213E-2"/>
          <c:w val="0.86437246963562753"/>
          <c:h val="0.78708133971291849"/>
        </c:manualLayout>
      </c:layout>
      <c:lineChart>
        <c:grouping val="standard"/>
        <c:varyColors val="0"/>
        <c:ser>
          <c:idx val="0"/>
          <c:order val="0"/>
          <c:tx>
            <c:strRef>
              <c:f>'Median rents'!$B$2</c:f>
              <c:strCache>
                <c:ptCount val="1"/>
                <c:pt idx="0">
                  <c:v>1 BR unit</c:v>
                </c:pt>
              </c:strCache>
            </c:strRef>
          </c:tx>
          <c:marker>
            <c:symbol val="none"/>
          </c:marker>
          <c:cat>
            <c:strRef>
              <c:f>'Median rents'!$A$3:$A$77</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 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 2017</c:v>
                </c:pt>
                <c:pt idx="70">
                  <c:v>Sep 2017</c:v>
                </c:pt>
                <c:pt idx="71">
                  <c:v>Dec 2017</c:v>
                </c:pt>
                <c:pt idx="72">
                  <c:v>Mar 2018</c:v>
                </c:pt>
                <c:pt idx="73">
                  <c:v>Jun 2018</c:v>
                </c:pt>
                <c:pt idx="74">
                  <c:v>Sep 2018</c:v>
                </c:pt>
              </c:strCache>
            </c:strRef>
          </c:cat>
          <c:val>
            <c:numRef>
              <c:f>'Median rents'!$B$3:$B$77</c:f>
              <c:numCache>
                <c:formatCode>General</c:formatCode>
                <c:ptCount val="75"/>
                <c:pt idx="0">
                  <c:v>80</c:v>
                </c:pt>
                <c:pt idx="1">
                  <c:v>85</c:v>
                </c:pt>
                <c:pt idx="2">
                  <c:v>85</c:v>
                </c:pt>
                <c:pt idx="3">
                  <c:v>85</c:v>
                </c:pt>
                <c:pt idx="4">
                  <c:v>85</c:v>
                </c:pt>
                <c:pt idx="5">
                  <c:v>85</c:v>
                </c:pt>
                <c:pt idx="6">
                  <c:v>90</c:v>
                </c:pt>
                <c:pt idx="7">
                  <c:v>90</c:v>
                </c:pt>
                <c:pt idx="8">
                  <c:v>90</c:v>
                </c:pt>
                <c:pt idx="9">
                  <c:v>90</c:v>
                </c:pt>
                <c:pt idx="10">
                  <c:v>90</c:v>
                </c:pt>
                <c:pt idx="11">
                  <c:v>90</c:v>
                </c:pt>
                <c:pt idx="12">
                  <c:v>95</c:v>
                </c:pt>
                <c:pt idx="13">
                  <c:v>95</c:v>
                </c:pt>
                <c:pt idx="14">
                  <c:v>95</c:v>
                </c:pt>
                <c:pt idx="15">
                  <c:v>95</c:v>
                </c:pt>
                <c:pt idx="16">
                  <c:v>100</c:v>
                </c:pt>
                <c:pt idx="17">
                  <c:v>100</c:v>
                </c:pt>
                <c:pt idx="18">
                  <c:v>100</c:v>
                </c:pt>
                <c:pt idx="19">
                  <c:v>100</c:v>
                </c:pt>
                <c:pt idx="20">
                  <c:v>105</c:v>
                </c:pt>
                <c:pt idx="21">
                  <c:v>105</c:v>
                </c:pt>
                <c:pt idx="22">
                  <c:v>105</c:v>
                </c:pt>
                <c:pt idx="23">
                  <c:v>105</c:v>
                </c:pt>
                <c:pt idx="24">
                  <c:v>105</c:v>
                </c:pt>
                <c:pt idx="25">
                  <c:v>110</c:v>
                </c:pt>
                <c:pt idx="26">
                  <c:v>110</c:v>
                </c:pt>
                <c:pt idx="27">
                  <c:v>110</c:v>
                </c:pt>
                <c:pt idx="28">
                  <c:v>110</c:v>
                </c:pt>
                <c:pt idx="29">
                  <c:v>115</c:v>
                </c:pt>
                <c:pt idx="30">
                  <c:v>120</c:v>
                </c:pt>
                <c:pt idx="31">
                  <c:v>120</c:v>
                </c:pt>
                <c:pt idx="32">
                  <c:v>125</c:v>
                </c:pt>
                <c:pt idx="33">
                  <c:v>125</c:v>
                </c:pt>
                <c:pt idx="34">
                  <c:v>130</c:v>
                </c:pt>
                <c:pt idx="35">
                  <c:v>135</c:v>
                </c:pt>
                <c:pt idx="36">
                  <c:v>140</c:v>
                </c:pt>
                <c:pt idx="37">
                  <c:v>140</c:v>
                </c:pt>
                <c:pt idx="38">
                  <c:v>145</c:v>
                </c:pt>
                <c:pt idx="39">
                  <c:v>150</c:v>
                </c:pt>
                <c:pt idx="40">
                  <c:v>150</c:v>
                </c:pt>
                <c:pt idx="41">
                  <c:v>150</c:v>
                </c:pt>
                <c:pt idx="42">
                  <c:v>160</c:v>
                </c:pt>
                <c:pt idx="43">
                  <c:v>160</c:v>
                </c:pt>
                <c:pt idx="44">
                  <c:v>165</c:v>
                </c:pt>
                <c:pt idx="45">
                  <c:v>170</c:v>
                </c:pt>
                <c:pt idx="46">
                  <c:v>175</c:v>
                </c:pt>
                <c:pt idx="47">
                  <c:v>180</c:v>
                </c:pt>
                <c:pt idx="48">
                  <c:v>180</c:v>
                </c:pt>
                <c:pt idx="49">
                  <c:v>185</c:v>
                </c:pt>
                <c:pt idx="50">
                  <c:v>185</c:v>
                </c:pt>
                <c:pt idx="51">
                  <c:v>190</c:v>
                </c:pt>
                <c:pt idx="52">
                  <c:v>190</c:v>
                </c:pt>
                <c:pt idx="53">
                  <c:v>190</c:v>
                </c:pt>
                <c:pt idx="54">
                  <c:v>190</c:v>
                </c:pt>
                <c:pt idx="55">
                  <c:v>190</c:v>
                </c:pt>
                <c:pt idx="56">
                  <c:v>195</c:v>
                </c:pt>
                <c:pt idx="57">
                  <c:v>200</c:v>
                </c:pt>
                <c:pt idx="58">
                  <c:v>200</c:v>
                </c:pt>
                <c:pt idx="59">
                  <c:v>200</c:v>
                </c:pt>
                <c:pt idx="60">
                  <c:v>205</c:v>
                </c:pt>
                <c:pt idx="61">
                  <c:v>200</c:v>
                </c:pt>
                <c:pt idx="62">
                  <c:v>200</c:v>
                </c:pt>
                <c:pt idx="63">
                  <c:v>205</c:v>
                </c:pt>
                <c:pt idx="64">
                  <c:v>205</c:v>
                </c:pt>
                <c:pt idx="65">
                  <c:v>210</c:v>
                </c:pt>
                <c:pt idx="66">
                  <c:v>205</c:v>
                </c:pt>
                <c:pt idx="67">
                  <c:v>210</c:v>
                </c:pt>
                <c:pt idx="68">
                  <c:v>210</c:v>
                </c:pt>
                <c:pt idx="69">
                  <c:v>210</c:v>
                </c:pt>
                <c:pt idx="70">
                  <c:v>210</c:v>
                </c:pt>
                <c:pt idx="71">
                  <c:v>215</c:v>
                </c:pt>
                <c:pt idx="72">
                  <c:v>220</c:v>
                </c:pt>
                <c:pt idx="73">
                  <c:v>220</c:v>
                </c:pt>
                <c:pt idx="74">
                  <c:v>220</c:v>
                </c:pt>
              </c:numCache>
            </c:numRef>
          </c:val>
          <c:smooth val="0"/>
          <c:extLst>
            <c:ext xmlns:c16="http://schemas.microsoft.com/office/drawing/2014/chart" uri="{C3380CC4-5D6E-409C-BE32-E72D297353CC}">
              <c16:uniqueId val="{00000000-8B09-4A30-B997-D90436709FFE}"/>
            </c:ext>
          </c:extLst>
        </c:ser>
        <c:ser>
          <c:idx val="1"/>
          <c:order val="1"/>
          <c:tx>
            <c:strRef>
              <c:f>'Median rents'!$C$2</c:f>
              <c:strCache>
                <c:ptCount val="1"/>
                <c:pt idx="0">
                  <c:v>2 BR unit</c:v>
                </c:pt>
              </c:strCache>
            </c:strRef>
          </c:tx>
          <c:marker>
            <c:symbol val="none"/>
          </c:marker>
          <c:cat>
            <c:strRef>
              <c:f>'Median rents'!$A$3:$A$77</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 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 2017</c:v>
                </c:pt>
                <c:pt idx="70">
                  <c:v>Sep 2017</c:v>
                </c:pt>
                <c:pt idx="71">
                  <c:v>Dec 2017</c:v>
                </c:pt>
                <c:pt idx="72">
                  <c:v>Mar 2018</c:v>
                </c:pt>
                <c:pt idx="73">
                  <c:v>Jun 2018</c:v>
                </c:pt>
                <c:pt idx="74">
                  <c:v>Sep 2018</c:v>
                </c:pt>
              </c:strCache>
            </c:strRef>
          </c:cat>
          <c:val>
            <c:numRef>
              <c:f>'Median rents'!$C$3:$C$77</c:f>
              <c:numCache>
                <c:formatCode>General</c:formatCode>
                <c:ptCount val="75"/>
                <c:pt idx="0">
                  <c:v>130</c:v>
                </c:pt>
                <c:pt idx="1">
                  <c:v>130</c:v>
                </c:pt>
                <c:pt idx="2">
                  <c:v>132</c:v>
                </c:pt>
                <c:pt idx="3">
                  <c:v>135</c:v>
                </c:pt>
                <c:pt idx="4">
                  <c:v>135</c:v>
                </c:pt>
                <c:pt idx="5">
                  <c:v>135</c:v>
                </c:pt>
                <c:pt idx="6">
                  <c:v>140</c:v>
                </c:pt>
                <c:pt idx="7">
                  <c:v>140</c:v>
                </c:pt>
                <c:pt idx="8">
                  <c:v>140</c:v>
                </c:pt>
                <c:pt idx="9">
                  <c:v>145</c:v>
                </c:pt>
                <c:pt idx="10">
                  <c:v>145</c:v>
                </c:pt>
                <c:pt idx="11">
                  <c:v>145</c:v>
                </c:pt>
                <c:pt idx="12">
                  <c:v>150</c:v>
                </c:pt>
                <c:pt idx="13">
                  <c:v>150</c:v>
                </c:pt>
                <c:pt idx="14">
                  <c:v>150</c:v>
                </c:pt>
                <c:pt idx="15">
                  <c:v>155</c:v>
                </c:pt>
                <c:pt idx="16">
                  <c:v>155</c:v>
                </c:pt>
                <c:pt idx="17">
                  <c:v>155</c:v>
                </c:pt>
                <c:pt idx="18">
                  <c:v>160</c:v>
                </c:pt>
                <c:pt idx="19">
                  <c:v>160</c:v>
                </c:pt>
                <c:pt idx="20">
                  <c:v>160</c:v>
                </c:pt>
                <c:pt idx="21">
                  <c:v>160</c:v>
                </c:pt>
                <c:pt idx="22">
                  <c:v>165</c:v>
                </c:pt>
                <c:pt idx="23">
                  <c:v>165</c:v>
                </c:pt>
                <c:pt idx="24">
                  <c:v>170</c:v>
                </c:pt>
                <c:pt idx="25">
                  <c:v>170</c:v>
                </c:pt>
                <c:pt idx="26">
                  <c:v>170</c:v>
                </c:pt>
                <c:pt idx="27">
                  <c:v>175</c:v>
                </c:pt>
                <c:pt idx="28">
                  <c:v>180</c:v>
                </c:pt>
                <c:pt idx="29">
                  <c:v>180</c:v>
                </c:pt>
                <c:pt idx="30">
                  <c:v>180</c:v>
                </c:pt>
                <c:pt idx="31">
                  <c:v>185</c:v>
                </c:pt>
                <c:pt idx="32">
                  <c:v>195</c:v>
                </c:pt>
                <c:pt idx="33">
                  <c:v>195</c:v>
                </c:pt>
                <c:pt idx="34">
                  <c:v>200</c:v>
                </c:pt>
                <c:pt idx="35">
                  <c:v>210</c:v>
                </c:pt>
                <c:pt idx="36">
                  <c:v>210</c:v>
                </c:pt>
                <c:pt idx="37">
                  <c:v>220</c:v>
                </c:pt>
                <c:pt idx="38">
                  <c:v>220</c:v>
                </c:pt>
                <c:pt idx="39">
                  <c:v>220</c:v>
                </c:pt>
                <c:pt idx="40">
                  <c:v>230</c:v>
                </c:pt>
                <c:pt idx="41">
                  <c:v>240</c:v>
                </c:pt>
                <c:pt idx="42">
                  <c:v>240</c:v>
                </c:pt>
                <c:pt idx="43">
                  <c:v>250</c:v>
                </c:pt>
                <c:pt idx="44">
                  <c:v>250</c:v>
                </c:pt>
                <c:pt idx="45">
                  <c:v>253</c:v>
                </c:pt>
                <c:pt idx="46">
                  <c:v>260</c:v>
                </c:pt>
                <c:pt idx="47">
                  <c:v>260</c:v>
                </c:pt>
                <c:pt idx="48">
                  <c:v>265</c:v>
                </c:pt>
                <c:pt idx="49">
                  <c:v>265</c:v>
                </c:pt>
                <c:pt idx="50">
                  <c:v>265</c:v>
                </c:pt>
                <c:pt idx="51">
                  <c:v>265</c:v>
                </c:pt>
                <c:pt idx="52">
                  <c:v>270</c:v>
                </c:pt>
                <c:pt idx="53">
                  <c:v>270</c:v>
                </c:pt>
                <c:pt idx="54">
                  <c:v>270</c:v>
                </c:pt>
                <c:pt idx="55">
                  <c:v>270</c:v>
                </c:pt>
                <c:pt idx="56">
                  <c:v>270</c:v>
                </c:pt>
                <c:pt idx="57">
                  <c:v>270</c:v>
                </c:pt>
                <c:pt idx="58">
                  <c:v>275</c:v>
                </c:pt>
                <c:pt idx="59">
                  <c:v>275</c:v>
                </c:pt>
                <c:pt idx="60">
                  <c:v>275</c:v>
                </c:pt>
                <c:pt idx="61">
                  <c:v>275</c:v>
                </c:pt>
                <c:pt idx="62">
                  <c:v>280</c:v>
                </c:pt>
                <c:pt idx="63">
                  <c:v>280</c:v>
                </c:pt>
                <c:pt idx="64">
                  <c:v>280</c:v>
                </c:pt>
                <c:pt idx="65">
                  <c:v>280</c:v>
                </c:pt>
                <c:pt idx="66">
                  <c:v>280</c:v>
                </c:pt>
                <c:pt idx="67">
                  <c:v>280</c:v>
                </c:pt>
                <c:pt idx="68">
                  <c:v>285</c:v>
                </c:pt>
                <c:pt idx="69">
                  <c:v>285</c:v>
                </c:pt>
                <c:pt idx="70">
                  <c:v>290</c:v>
                </c:pt>
                <c:pt idx="71">
                  <c:v>290</c:v>
                </c:pt>
                <c:pt idx="72">
                  <c:v>295</c:v>
                </c:pt>
                <c:pt idx="73">
                  <c:v>300</c:v>
                </c:pt>
                <c:pt idx="74">
                  <c:v>300</c:v>
                </c:pt>
              </c:numCache>
            </c:numRef>
          </c:val>
          <c:smooth val="0"/>
          <c:extLst>
            <c:ext xmlns:c16="http://schemas.microsoft.com/office/drawing/2014/chart" uri="{C3380CC4-5D6E-409C-BE32-E72D297353CC}">
              <c16:uniqueId val="{00000001-8B09-4A30-B997-D90436709FFE}"/>
            </c:ext>
          </c:extLst>
        </c:ser>
        <c:ser>
          <c:idx val="2"/>
          <c:order val="2"/>
          <c:tx>
            <c:strRef>
              <c:f>'Median rents'!$D$2</c:f>
              <c:strCache>
                <c:ptCount val="1"/>
                <c:pt idx="0">
                  <c:v>3 BR unit</c:v>
                </c:pt>
              </c:strCache>
            </c:strRef>
          </c:tx>
          <c:marker>
            <c:symbol val="none"/>
          </c:marker>
          <c:cat>
            <c:strRef>
              <c:f>'Median rents'!$A$3:$A$77</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 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 2017</c:v>
                </c:pt>
                <c:pt idx="70">
                  <c:v>Sep 2017</c:v>
                </c:pt>
                <c:pt idx="71">
                  <c:v>Dec 2017</c:v>
                </c:pt>
                <c:pt idx="72">
                  <c:v>Mar 2018</c:v>
                </c:pt>
                <c:pt idx="73">
                  <c:v>Jun 2018</c:v>
                </c:pt>
                <c:pt idx="74">
                  <c:v>Sep 2018</c:v>
                </c:pt>
              </c:strCache>
            </c:strRef>
          </c:cat>
          <c:val>
            <c:numRef>
              <c:f>'Median rents'!$D$3:$D$77</c:f>
              <c:numCache>
                <c:formatCode>General</c:formatCode>
                <c:ptCount val="75"/>
                <c:pt idx="0">
                  <c:v>175</c:v>
                </c:pt>
                <c:pt idx="1">
                  <c:v>180</c:v>
                </c:pt>
                <c:pt idx="2">
                  <c:v>170</c:v>
                </c:pt>
                <c:pt idx="3">
                  <c:v>170</c:v>
                </c:pt>
                <c:pt idx="4">
                  <c:v>165</c:v>
                </c:pt>
                <c:pt idx="5">
                  <c:v>165</c:v>
                </c:pt>
                <c:pt idx="6">
                  <c:v>170</c:v>
                </c:pt>
                <c:pt idx="7">
                  <c:v>170</c:v>
                </c:pt>
                <c:pt idx="8">
                  <c:v>170</c:v>
                </c:pt>
                <c:pt idx="9">
                  <c:v>180</c:v>
                </c:pt>
                <c:pt idx="10">
                  <c:v>183</c:v>
                </c:pt>
                <c:pt idx="11">
                  <c:v>185</c:v>
                </c:pt>
                <c:pt idx="12">
                  <c:v>190</c:v>
                </c:pt>
                <c:pt idx="13">
                  <c:v>197</c:v>
                </c:pt>
                <c:pt idx="14">
                  <c:v>200</c:v>
                </c:pt>
                <c:pt idx="15">
                  <c:v>200</c:v>
                </c:pt>
                <c:pt idx="16">
                  <c:v>210</c:v>
                </c:pt>
                <c:pt idx="17">
                  <c:v>210</c:v>
                </c:pt>
                <c:pt idx="18">
                  <c:v>210</c:v>
                </c:pt>
                <c:pt idx="19">
                  <c:v>215</c:v>
                </c:pt>
                <c:pt idx="20">
                  <c:v>220</c:v>
                </c:pt>
                <c:pt idx="21">
                  <c:v>215</c:v>
                </c:pt>
                <c:pt idx="22">
                  <c:v>220</c:v>
                </c:pt>
                <c:pt idx="23">
                  <c:v>225</c:v>
                </c:pt>
                <c:pt idx="24">
                  <c:v>223</c:v>
                </c:pt>
                <c:pt idx="25">
                  <c:v>230</c:v>
                </c:pt>
                <c:pt idx="26">
                  <c:v>220</c:v>
                </c:pt>
                <c:pt idx="27">
                  <c:v>230</c:v>
                </c:pt>
                <c:pt idx="28">
                  <c:v>243</c:v>
                </c:pt>
                <c:pt idx="29">
                  <c:v>250</c:v>
                </c:pt>
                <c:pt idx="30">
                  <c:v>258</c:v>
                </c:pt>
                <c:pt idx="31">
                  <c:v>260</c:v>
                </c:pt>
                <c:pt idx="32">
                  <c:v>260</c:v>
                </c:pt>
                <c:pt idx="33">
                  <c:v>270</c:v>
                </c:pt>
                <c:pt idx="34">
                  <c:v>270</c:v>
                </c:pt>
                <c:pt idx="35">
                  <c:v>273</c:v>
                </c:pt>
                <c:pt idx="36">
                  <c:v>280</c:v>
                </c:pt>
                <c:pt idx="37">
                  <c:v>283</c:v>
                </c:pt>
                <c:pt idx="38">
                  <c:v>295</c:v>
                </c:pt>
                <c:pt idx="39">
                  <c:v>290</c:v>
                </c:pt>
                <c:pt idx="40">
                  <c:v>295</c:v>
                </c:pt>
                <c:pt idx="41">
                  <c:v>295</c:v>
                </c:pt>
                <c:pt idx="42">
                  <c:v>300</c:v>
                </c:pt>
                <c:pt idx="43">
                  <c:v>320</c:v>
                </c:pt>
                <c:pt idx="44">
                  <c:v>325</c:v>
                </c:pt>
                <c:pt idx="45">
                  <c:v>330</c:v>
                </c:pt>
                <c:pt idx="46">
                  <c:v>330</c:v>
                </c:pt>
                <c:pt idx="47">
                  <c:v>330</c:v>
                </c:pt>
                <c:pt idx="48">
                  <c:v>340</c:v>
                </c:pt>
                <c:pt idx="49">
                  <c:v>340</c:v>
                </c:pt>
                <c:pt idx="50">
                  <c:v>340</c:v>
                </c:pt>
                <c:pt idx="51">
                  <c:v>340</c:v>
                </c:pt>
                <c:pt idx="52">
                  <c:v>340</c:v>
                </c:pt>
                <c:pt idx="53">
                  <c:v>335</c:v>
                </c:pt>
                <c:pt idx="54">
                  <c:v>335</c:v>
                </c:pt>
                <c:pt idx="55">
                  <c:v>340</c:v>
                </c:pt>
                <c:pt idx="56">
                  <c:v>340</c:v>
                </c:pt>
                <c:pt idx="57">
                  <c:v>340</c:v>
                </c:pt>
                <c:pt idx="58">
                  <c:v>340</c:v>
                </c:pt>
                <c:pt idx="59">
                  <c:v>335</c:v>
                </c:pt>
                <c:pt idx="60">
                  <c:v>330</c:v>
                </c:pt>
                <c:pt idx="61">
                  <c:v>330</c:v>
                </c:pt>
                <c:pt idx="62">
                  <c:v>330</c:v>
                </c:pt>
                <c:pt idx="63">
                  <c:v>335</c:v>
                </c:pt>
                <c:pt idx="64">
                  <c:v>340</c:v>
                </c:pt>
                <c:pt idx="65">
                  <c:v>340</c:v>
                </c:pt>
                <c:pt idx="66">
                  <c:v>340</c:v>
                </c:pt>
                <c:pt idx="67">
                  <c:v>345</c:v>
                </c:pt>
                <c:pt idx="68">
                  <c:v>350</c:v>
                </c:pt>
                <c:pt idx="69">
                  <c:v>355</c:v>
                </c:pt>
                <c:pt idx="70">
                  <c:v>360</c:v>
                </c:pt>
                <c:pt idx="71">
                  <c:v>360</c:v>
                </c:pt>
                <c:pt idx="72">
                  <c:v>360</c:v>
                </c:pt>
                <c:pt idx="73">
                  <c:v>360</c:v>
                </c:pt>
                <c:pt idx="74">
                  <c:v>365</c:v>
                </c:pt>
              </c:numCache>
            </c:numRef>
          </c:val>
          <c:smooth val="0"/>
          <c:extLst>
            <c:ext xmlns:c16="http://schemas.microsoft.com/office/drawing/2014/chart" uri="{C3380CC4-5D6E-409C-BE32-E72D297353CC}">
              <c16:uniqueId val="{00000002-8B09-4A30-B997-D90436709FFE}"/>
            </c:ext>
          </c:extLst>
        </c:ser>
        <c:ser>
          <c:idx val="3"/>
          <c:order val="3"/>
          <c:tx>
            <c:strRef>
              <c:f>'Median rents'!$E$2</c:f>
              <c:strCache>
                <c:ptCount val="1"/>
                <c:pt idx="0">
                  <c:v>2 BR house</c:v>
                </c:pt>
              </c:strCache>
            </c:strRef>
          </c:tx>
          <c:marker>
            <c:symbol val="none"/>
          </c:marker>
          <c:cat>
            <c:strRef>
              <c:f>'Median rents'!$A$3:$A$77</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 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 2017</c:v>
                </c:pt>
                <c:pt idx="70">
                  <c:v>Sep 2017</c:v>
                </c:pt>
                <c:pt idx="71">
                  <c:v>Dec 2017</c:v>
                </c:pt>
                <c:pt idx="72">
                  <c:v>Mar 2018</c:v>
                </c:pt>
                <c:pt idx="73">
                  <c:v>Jun 2018</c:v>
                </c:pt>
                <c:pt idx="74">
                  <c:v>Sep 2018</c:v>
                </c:pt>
              </c:strCache>
            </c:strRef>
          </c:cat>
          <c:val>
            <c:numRef>
              <c:f>'Median rents'!$E$3:$E$77</c:f>
              <c:numCache>
                <c:formatCode>General</c:formatCode>
                <c:ptCount val="75"/>
                <c:pt idx="0">
                  <c:v>135</c:v>
                </c:pt>
                <c:pt idx="1">
                  <c:v>140</c:v>
                </c:pt>
                <c:pt idx="2">
                  <c:v>140</c:v>
                </c:pt>
                <c:pt idx="3">
                  <c:v>140</c:v>
                </c:pt>
                <c:pt idx="4">
                  <c:v>140</c:v>
                </c:pt>
                <c:pt idx="5">
                  <c:v>140</c:v>
                </c:pt>
                <c:pt idx="6">
                  <c:v>145</c:v>
                </c:pt>
                <c:pt idx="7">
                  <c:v>145</c:v>
                </c:pt>
                <c:pt idx="8">
                  <c:v>150</c:v>
                </c:pt>
                <c:pt idx="9">
                  <c:v>150</c:v>
                </c:pt>
                <c:pt idx="10">
                  <c:v>150</c:v>
                </c:pt>
                <c:pt idx="11">
                  <c:v>155</c:v>
                </c:pt>
                <c:pt idx="12">
                  <c:v>160</c:v>
                </c:pt>
                <c:pt idx="13">
                  <c:v>160</c:v>
                </c:pt>
                <c:pt idx="14">
                  <c:v>160</c:v>
                </c:pt>
                <c:pt idx="15">
                  <c:v>160</c:v>
                </c:pt>
                <c:pt idx="16">
                  <c:v>165</c:v>
                </c:pt>
                <c:pt idx="17">
                  <c:v>165</c:v>
                </c:pt>
                <c:pt idx="18">
                  <c:v>170</c:v>
                </c:pt>
                <c:pt idx="19">
                  <c:v>170</c:v>
                </c:pt>
                <c:pt idx="20">
                  <c:v>175</c:v>
                </c:pt>
                <c:pt idx="21">
                  <c:v>180</c:v>
                </c:pt>
                <c:pt idx="22">
                  <c:v>180</c:v>
                </c:pt>
                <c:pt idx="23">
                  <c:v>180</c:v>
                </c:pt>
                <c:pt idx="24">
                  <c:v>180</c:v>
                </c:pt>
                <c:pt idx="25">
                  <c:v>180</c:v>
                </c:pt>
                <c:pt idx="26">
                  <c:v>185</c:v>
                </c:pt>
                <c:pt idx="27">
                  <c:v>185</c:v>
                </c:pt>
                <c:pt idx="28">
                  <c:v>195</c:v>
                </c:pt>
                <c:pt idx="29">
                  <c:v>200</c:v>
                </c:pt>
                <c:pt idx="30">
                  <c:v>205</c:v>
                </c:pt>
                <c:pt idx="31">
                  <c:v>210</c:v>
                </c:pt>
                <c:pt idx="32">
                  <c:v>210</c:v>
                </c:pt>
                <c:pt idx="33">
                  <c:v>210</c:v>
                </c:pt>
                <c:pt idx="34">
                  <c:v>210</c:v>
                </c:pt>
                <c:pt idx="35">
                  <c:v>220</c:v>
                </c:pt>
                <c:pt idx="36">
                  <c:v>220</c:v>
                </c:pt>
                <c:pt idx="37">
                  <c:v>225</c:v>
                </c:pt>
                <c:pt idx="38">
                  <c:v>230</c:v>
                </c:pt>
                <c:pt idx="39">
                  <c:v>230</c:v>
                </c:pt>
                <c:pt idx="40">
                  <c:v>240</c:v>
                </c:pt>
                <c:pt idx="41">
                  <c:v>245</c:v>
                </c:pt>
                <c:pt idx="42">
                  <c:v>250</c:v>
                </c:pt>
                <c:pt idx="43">
                  <c:v>250</c:v>
                </c:pt>
                <c:pt idx="44">
                  <c:v>250</c:v>
                </c:pt>
                <c:pt idx="45">
                  <c:v>260</c:v>
                </c:pt>
                <c:pt idx="46">
                  <c:v>265</c:v>
                </c:pt>
                <c:pt idx="47">
                  <c:v>265</c:v>
                </c:pt>
                <c:pt idx="48">
                  <c:v>270</c:v>
                </c:pt>
                <c:pt idx="49">
                  <c:v>275</c:v>
                </c:pt>
                <c:pt idx="50">
                  <c:v>275</c:v>
                </c:pt>
                <c:pt idx="51">
                  <c:v>280</c:v>
                </c:pt>
                <c:pt idx="52">
                  <c:v>280</c:v>
                </c:pt>
                <c:pt idx="53">
                  <c:v>280</c:v>
                </c:pt>
                <c:pt idx="54">
                  <c:v>280</c:v>
                </c:pt>
                <c:pt idx="55">
                  <c:v>280</c:v>
                </c:pt>
                <c:pt idx="56">
                  <c:v>280</c:v>
                </c:pt>
                <c:pt idx="57">
                  <c:v>280</c:v>
                </c:pt>
                <c:pt idx="58">
                  <c:v>280</c:v>
                </c:pt>
                <c:pt idx="59">
                  <c:v>280</c:v>
                </c:pt>
                <c:pt idx="60">
                  <c:v>280</c:v>
                </c:pt>
                <c:pt idx="61">
                  <c:v>280</c:v>
                </c:pt>
                <c:pt idx="62">
                  <c:v>280</c:v>
                </c:pt>
                <c:pt idx="63">
                  <c:v>280</c:v>
                </c:pt>
                <c:pt idx="64">
                  <c:v>280</c:v>
                </c:pt>
                <c:pt idx="65">
                  <c:v>285</c:v>
                </c:pt>
                <c:pt idx="66">
                  <c:v>290</c:v>
                </c:pt>
                <c:pt idx="67">
                  <c:v>290</c:v>
                </c:pt>
                <c:pt idx="68">
                  <c:v>290</c:v>
                </c:pt>
                <c:pt idx="69">
                  <c:v>290</c:v>
                </c:pt>
                <c:pt idx="70">
                  <c:v>295</c:v>
                </c:pt>
                <c:pt idx="71">
                  <c:v>300</c:v>
                </c:pt>
                <c:pt idx="72">
                  <c:v>300</c:v>
                </c:pt>
                <c:pt idx="73">
                  <c:v>300</c:v>
                </c:pt>
                <c:pt idx="74">
                  <c:v>308</c:v>
                </c:pt>
              </c:numCache>
            </c:numRef>
          </c:val>
          <c:smooth val="0"/>
          <c:extLst>
            <c:ext xmlns:c16="http://schemas.microsoft.com/office/drawing/2014/chart" uri="{C3380CC4-5D6E-409C-BE32-E72D297353CC}">
              <c16:uniqueId val="{00000003-8B09-4A30-B997-D90436709FFE}"/>
            </c:ext>
          </c:extLst>
        </c:ser>
        <c:ser>
          <c:idx val="4"/>
          <c:order val="4"/>
          <c:tx>
            <c:strRef>
              <c:f>'Median rents'!$F$2</c:f>
              <c:strCache>
                <c:ptCount val="1"/>
                <c:pt idx="0">
                  <c:v>3BR house</c:v>
                </c:pt>
              </c:strCache>
            </c:strRef>
          </c:tx>
          <c:marker>
            <c:symbol val="none"/>
          </c:marker>
          <c:cat>
            <c:strRef>
              <c:f>'Median rents'!$A$3:$A$77</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 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 2017</c:v>
                </c:pt>
                <c:pt idx="70">
                  <c:v>Sep 2017</c:v>
                </c:pt>
                <c:pt idx="71">
                  <c:v>Dec 2017</c:v>
                </c:pt>
                <c:pt idx="72">
                  <c:v>Mar 2018</c:v>
                </c:pt>
                <c:pt idx="73">
                  <c:v>Jun 2018</c:v>
                </c:pt>
                <c:pt idx="74">
                  <c:v>Sep 2018</c:v>
                </c:pt>
              </c:strCache>
            </c:strRef>
          </c:cat>
          <c:val>
            <c:numRef>
              <c:f>'Median rents'!$F$3:$F$77</c:f>
              <c:numCache>
                <c:formatCode>General</c:formatCode>
                <c:ptCount val="75"/>
                <c:pt idx="0">
                  <c:v>150</c:v>
                </c:pt>
                <c:pt idx="1">
                  <c:v>151</c:v>
                </c:pt>
                <c:pt idx="2">
                  <c:v>155</c:v>
                </c:pt>
                <c:pt idx="3">
                  <c:v>160</c:v>
                </c:pt>
                <c:pt idx="4">
                  <c:v>160</c:v>
                </c:pt>
                <c:pt idx="5">
                  <c:v>160</c:v>
                </c:pt>
                <c:pt idx="6">
                  <c:v>160</c:v>
                </c:pt>
                <c:pt idx="7">
                  <c:v>165</c:v>
                </c:pt>
                <c:pt idx="8">
                  <c:v>170</c:v>
                </c:pt>
                <c:pt idx="9">
                  <c:v>170</c:v>
                </c:pt>
                <c:pt idx="10">
                  <c:v>175</c:v>
                </c:pt>
                <c:pt idx="11">
                  <c:v>175</c:v>
                </c:pt>
                <c:pt idx="12">
                  <c:v>180</c:v>
                </c:pt>
                <c:pt idx="13">
                  <c:v>180</c:v>
                </c:pt>
                <c:pt idx="14">
                  <c:v>180</c:v>
                </c:pt>
                <c:pt idx="15">
                  <c:v>185</c:v>
                </c:pt>
                <c:pt idx="16">
                  <c:v>190</c:v>
                </c:pt>
                <c:pt idx="17">
                  <c:v>190</c:v>
                </c:pt>
                <c:pt idx="18">
                  <c:v>190</c:v>
                </c:pt>
                <c:pt idx="19">
                  <c:v>195</c:v>
                </c:pt>
                <c:pt idx="20">
                  <c:v>200</c:v>
                </c:pt>
                <c:pt idx="21">
                  <c:v>200</c:v>
                </c:pt>
                <c:pt idx="22">
                  <c:v>200</c:v>
                </c:pt>
                <c:pt idx="23">
                  <c:v>200</c:v>
                </c:pt>
                <c:pt idx="24">
                  <c:v>200</c:v>
                </c:pt>
                <c:pt idx="25">
                  <c:v>205</c:v>
                </c:pt>
                <c:pt idx="26">
                  <c:v>210</c:v>
                </c:pt>
                <c:pt idx="27">
                  <c:v>215</c:v>
                </c:pt>
                <c:pt idx="28">
                  <c:v>220</c:v>
                </c:pt>
                <c:pt idx="29">
                  <c:v>220</c:v>
                </c:pt>
                <c:pt idx="30">
                  <c:v>230</c:v>
                </c:pt>
                <c:pt idx="31">
                  <c:v>230</c:v>
                </c:pt>
                <c:pt idx="32">
                  <c:v>240</c:v>
                </c:pt>
                <c:pt idx="33">
                  <c:v>245</c:v>
                </c:pt>
                <c:pt idx="34">
                  <c:v>250</c:v>
                </c:pt>
                <c:pt idx="35">
                  <c:v>250</c:v>
                </c:pt>
                <c:pt idx="36">
                  <c:v>260</c:v>
                </c:pt>
                <c:pt idx="37">
                  <c:v>260</c:v>
                </c:pt>
                <c:pt idx="38">
                  <c:v>260</c:v>
                </c:pt>
                <c:pt idx="39">
                  <c:v>265</c:v>
                </c:pt>
                <c:pt idx="40">
                  <c:v>270</c:v>
                </c:pt>
                <c:pt idx="41">
                  <c:v>275</c:v>
                </c:pt>
                <c:pt idx="42">
                  <c:v>280</c:v>
                </c:pt>
                <c:pt idx="43">
                  <c:v>283</c:v>
                </c:pt>
                <c:pt idx="44">
                  <c:v>290</c:v>
                </c:pt>
                <c:pt idx="45">
                  <c:v>300</c:v>
                </c:pt>
                <c:pt idx="46">
                  <c:v>300</c:v>
                </c:pt>
                <c:pt idx="47">
                  <c:v>300</c:v>
                </c:pt>
                <c:pt idx="48">
                  <c:v>300</c:v>
                </c:pt>
                <c:pt idx="49">
                  <c:v>300</c:v>
                </c:pt>
                <c:pt idx="50">
                  <c:v>310</c:v>
                </c:pt>
                <c:pt idx="51">
                  <c:v>310</c:v>
                </c:pt>
                <c:pt idx="52">
                  <c:v>315</c:v>
                </c:pt>
                <c:pt idx="53">
                  <c:v>320</c:v>
                </c:pt>
                <c:pt idx="54">
                  <c:v>315</c:v>
                </c:pt>
                <c:pt idx="55">
                  <c:v>315</c:v>
                </c:pt>
                <c:pt idx="56">
                  <c:v>310</c:v>
                </c:pt>
                <c:pt idx="57">
                  <c:v>315</c:v>
                </c:pt>
                <c:pt idx="58">
                  <c:v>320</c:v>
                </c:pt>
                <c:pt idx="59">
                  <c:v>320</c:v>
                </c:pt>
                <c:pt idx="60">
                  <c:v>320</c:v>
                </c:pt>
                <c:pt idx="61">
                  <c:v>320</c:v>
                </c:pt>
                <c:pt idx="62">
                  <c:v>320</c:v>
                </c:pt>
                <c:pt idx="63">
                  <c:v>320</c:v>
                </c:pt>
                <c:pt idx="64">
                  <c:v>320</c:v>
                </c:pt>
                <c:pt idx="65">
                  <c:v>325</c:v>
                </c:pt>
                <c:pt idx="66">
                  <c:v>330</c:v>
                </c:pt>
                <c:pt idx="67">
                  <c:v>330</c:v>
                </c:pt>
                <c:pt idx="68">
                  <c:v>330</c:v>
                </c:pt>
                <c:pt idx="69">
                  <c:v>330</c:v>
                </c:pt>
                <c:pt idx="70">
                  <c:v>340</c:v>
                </c:pt>
                <c:pt idx="71">
                  <c:v>340</c:v>
                </c:pt>
                <c:pt idx="72">
                  <c:v>345</c:v>
                </c:pt>
                <c:pt idx="73">
                  <c:v>350</c:v>
                </c:pt>
                <c:pt idx="74">
                  <c:v>350</c:v>
                </c:pt>
              </c:numCache>
            </c:numRef>
          </c:val>
          <c:smooth val="0"/>
          <c:extLst>
            <c:ext xmlns:c16="http://schemas.microsoft.com/office/drawing/2014/chart" uri="{C3380CC4-5D6E-409C-BE32-E72D297353CC}">
              <c16:uniqueId val="{00000004-8B09-4A30-B997-D90436709FFE}"/>
            </c:ext>
          </c:extLst>
        </c:ser>
        <c:ser>
          <c:idx val="5"/>
          <c:order val="5"/>
          <c:tx>
            <c:strRef>
              <c:f>'Median rents'!$G$2</c:f>
              <c:strCache>
                <c:ptCount val="1"/>
                <c:pt idx="0">
                  <c:v>4 BR house</c:v>
                </c:pt>
              </c:strCache>
            </c:strRef>
          </c:tx>
          <c:marker>
            <c:symbol val="none"/>
          </c:marker>
          <c:cat>
            <c:strRef>
              <c:f>'Median rents'!$A$3:$A$77</c:f>
              <c:strCache>
                <c:ptCount val="75"/>
                <c:pt idx="0">
                  <c:v>Mar 2000</c:v>
                </c:pt>
                <c:pt idx="1">
                  <c:v>Jun 2000</c:v>
                </c:pt>
                <c:pt idx="2">
                  <c:v>Sep 2000</c:v>
                </c:pt>
                <c:pt idx="3">
                  <c:v>Dec 2000</c:v>
                </c:pt>
                <c:pt idx="4">
                  <c:v>Mar 2001</c:v>
                </c:pt>
                <c:pt idx="5">
                  <c:v>Jun 2001</c:v>
                </c:pt>
                <c:pt idx="6">
                  <c:v>Sep 2001</c:v>
                </c:pt>
                <c:pt idx="7">
                  <c:v>Dec 2001</c:v>
                </c:pt>
                <c:pt idx="8">
                  <c:v>Mar 2002</c:v>
                </c:pt>
                <c:pt idx="9">
                  <c:v>Jun 2002</c:v>
                </c:pt>
                <c:pt idx="10">
                  <c:v>Sep 2002</c:v>
                </c:pt>
                <c:pt idx="11">
                  <c:v>Dec 2003</c:v>
                </c:pt>
                <c:pt idx="12">
                  <c:v>Mar 2003</c:v>
                </c:pt>
                <c:pt idx="13">
                  <c:v>Jun 2003</c:v>
                </c:pt>
                <c:pt idx="14">
                  <c:v>Sep 2003</c:v>
                </c:pt>
                <c:pt idx="15">
                  <c:v>Dec 2003</c:v>
                </c:pt>
                <c:pt idx="16">
                  <c:v>Mar 2004</c:v>
                </c:pt>
                <c:pt idx="17">
                  <c:v>Jun 2004</c:v>
                </c:pt>
                <c:pt idx="18">
                  <c:v>Sep 2004</c:v>
                </c:pt>
                <c:pt idx="19">
                  <c:v>Dec 2004</c:v>
                </c:pt>
                <c:pt idx="20">
                  <c:v>Mar 2005</c:v>
                </c:pt>
                <c:pt idx="21">
                  <c:v>Jun 2005</c:v>
                </c:pt>
                <c:pt idx="22">
                  <c:v>Sep 2005</c:v>
                </c:pt>
                <c:pt idx="23">
                  <c:v>Dec 2005</c:v>
                </c:pt>
                <c:pt idx="24">
                  <c:v>Mar 2006</c:v>
                </c:pt>
                <c:pt idx="25">
                  <c:v>Jun 2006</c:v>
                </c:pt>
                <c:pt idx="26">
                  <c:v>Sep 2006</c:v>
                </c:pt>
                <c:pt idx="27">
                  <c:v>Dec 2006</c:v>
                </c:pt>
                <c:pt idx="28">
                  <c:v>Mar 2007</c:v>
                </c:pt>
                <c:pt idx="29">
                  <c:v>Jun 2007</c:v>
                </c:pt>
                <c:pt idx="30">
                  <c:v>Sep 2007</c:v>
                </c:pt>
                <c:pt idx="31">
                  <c:v>Dec 2007</c:v>
                </c:pt>
                <c:pt idx="32">
                  <c:v>Mar 2008</c:v>
                </c:pt>
                <c:pt idx="33">
                  <c:v>Jun 2008</c:v>
                </c:pt>
                <c:pt idx="34">
                  <c:v>Sep 2008</c:v>
                </c:pt>
                <c:pt idx="35">
                  <c:v>Dec 2008</c:v>
                </c:pt>
                <c:pt idx="36">
                  <c:v>Mar 2009</c:v>
                </c:pt>
                <c:pt idx="37">
                  <c:v>Jun 2009</c:v>
                </c:pt>
                <c:pt idx="38">
                  <c:v>Sep 2009</c:v>
                </c:pt>
                <c:pt idx="39">
                  <c:v>Dec 2009</c:v>
                </c:pt>
                <c:pt idx="40">
                  <c:v>Mar 2010</c:v>
                </c:pt>
                <c:pt idx="41">
                  <c:v>Jun 2010</c:v>
                </c:pt>
                <c:pt idx="42">
                  <c:v>Sep 2010</c:v>
                </c:pt>
                <c:pt idx="43">
                  <c:v>Dec 2010</c:v>
                </c:pt>
                <c:pt idx="44">
                  <c:v>Mar 2011</c:v>
                </c:pt>
                <c:pt idx="45">
                  <c:v>Jun 2011</c:v>
                </c:pt>
                <c:pt idx="46">
                  <c:v>Sep 2011</c:v>
                </c:pt>
                <c:pt idx="47">
                  <c:v>Dec 2011</c:v>
                </c:pt>
                <c:pt idx="48">
                  <c:v>Mar 2012</c:v>
                </c:pt>
                <c:pt idx="49">
                  <c:v>Jun 2012</c:v>
                </c:pt>
                <c:pt idx="50">
                  <c:v>Sep 2012</c:v>
                </c:pt>
                <c:pt idx="51">
                  <c:v>Dec 2012</c:v>
                </c:pt>
                <c:pt idx="52">
                  <c:v>Mar 2013</c:v>
                </c:pt>
                <c:pt idx="53">
                  <c:v>Jun 2013</c:v>
                </c:pt>
                <c:pt idx="54">
                  <c:v>Sep 2013</c:v>
                </c:pt>
                <c:pt idx="55">
                  <c:v>Dec 2013</c:v>
                </c:pt>
                <c:pt idx="56">
                  <c:v>Mar 2014</c:v>
                </c:pt>
                <c:pt idx="57">
                  <c:v>Jun 2014</c:v>
                </c:pt>
                <c:pt idx="58">
                  <c:v>Sep 2014</c:v>
                </c:pt>
                <c:pt idx="59">
                  <c:v>Dec 2014</c:v>
                </c:pt>
                <c:pt idx="60">
                  <c:v>Mar 2015</c:v>
                </c:pt>
                <c:pt idx="61">
                  <c:v>Jun 2015</c:v>
                </c:pt>
                <c:pt idx="62">
                  <c:v>Sep 2015</c:v>
                </c:pt>
                <c:pt idx="63">
                  <c:v>Dec 2015</c:v>
                </c:pt>
                <c:pt idx="64">
                  <c:v>Mar 2016</c:v>
                </c:pt>
                <c:pt idx="65">
                  <c:v>Jun 2016</c:v>
                </c:pt>
                <c:pt idx="66">
                  <c:v>Sep 2016</c:v>
                </c:pt>
                <c:pt idx="67">
                  <c:v>Dec 2016</c:v>
                </c:pt>
                <c:pt idx="68">
                  <c:v>Mar 2017</c:v>
                </c:pt>
                <c:pt idx="69">
                  <c:v>Jun 2017</c:v>
                </c:pt>
                <c:pt idx="70">
                  <c:v>Sep 2017</c:v>
                </c:pt>
                <c:pt idx="71">
                  <c:v>Dec 2017</c:v>
                </c:pt>
                <c:pt idx="72">
                  <c:v>Mar 2018</c:v>
                </c:pt>
                <c:pt idx="73">
                  <c:v>Jun 2018</c:v>
                </c:pt>
                <c:pt idx="74">
                  <c:v>Sep 2018</c:v>
                </c:pt>
              </c:strCache>
            </c:strRef>
          </c:cat>
          <c:val>
            <c:numRef>
              <c:f>'Median rents'!$G$3:$G$77</c:f>
              <c:numCache>
                <c:formatCode>General</c:formatCode>
                <c:ptCount val="75"/>
                <c:pt idx="0">
                  <c:v>190</c:v>
                </c:pt>
                <c:pt idx="1">
                  <c:v>200</c:v>
                </c:pt>
                <c:pt idx="2">
                  <c:v>200</c:v>
                </c:pt>
                <c:pt idx="3">
                  <c:v>200</c:v>
                </c:pt>
                <c:pt idx="4">
                  <c:v>200</c:v>
                </c:pt>
                <c:pt idx="5">
                  <c:v>210</c:v>
                </c:pt>
                <c:pt idx="6">
                  <c:v>215</c:v>
                </c:pt>
                <c:pt idx="7">
                  <c:v>220</c:v>
                </c:pt>
                <c:pt idx="8">
                  <c:v>220</c:v>
                </c:pt>
                <c:pt idx="9">
                  <c:v>220</c:v>
                </c:pt>
                <c:pt idx="10">
                  <c:v>220</c:v>
                </c:pt>
                <c:pt idx="11">
                  <c:v>225</c:v>
                </c:pt>
                <c:pt idx="12">
                  <c:v>223</c:v>
                </c:pt>
                <c:pt idx="13">
                  <c:v>228</c:v>
                </c:pt>
                <c:pt idx="14">
                  <c:v>230</c:v>
                </c:pt>
                <c:pt idx="15">
                  <c:v>240</c:v>
                </c:pt>
                <c:pt idx="16">
                  <c:v>250</c:v>
                </c:pt>
                <c:pt idx="17">
                  <c:v>250</c:v>
                </c:pt>
                <c:pt idx="18">
                  <c:v>250</c:v>
                </c:pt>
                <c:pt idx="19">
                  <c:v>250</c:v>
                </c:pt>
                <c:pt idx="20">
                  <c:v>250</c:v>
                </c:pt>
                <c:pt idx="21">
                  <c:v>250</c:v>
                </c:pt>
                <c:pt idx="22">
                  <c:v>250</c:v>
                </c:pt>
                <c:pt idx="23">
                  <c:v>260</c:v>
                </c:pt>
                <c:pt idx="24">
                  <c:v>260</c:v>
                </c:pt>
                <c:pt idx="25">
                  <c:v>270</c:v>
                </c:pt>
                <c:pt idx="26">
                  <c:v>270</c:v>
                </c:pt>
                <c:pt idx="27">
                  <c:v>270</c:v>
                </c:pt>
                <c:pt idx="28">
                  <c:v>270</c:v>
                </c:pt>
                <c:pt idx="29">
                  <c:v>280</c:v>
                </c:pt>
                <c:pt idx="30">
                  <c:v>285</c:v>
                </c:pt>
                <c:pt idx="31">
                  <c:v>290</c:v>
                </c:pt>
                <c:pt idx="32">
                  <c:v>300</c:v>
                </c:pt>
                <c:pt idx="33">
                  <c:v>300</c:v>
                </c:pt>
                <c:pt idx="34">
                  <c:v>310</c:v>
                </c:pt>
                <c:pt idx="35">
                  <c:v>320</c:v>
                </c:pt>
                <c:pt idx="36">
                  <c:v>330</c:v>
                </c:pt>
                <c:pt idx="37">
                  <c:v>333</c:v>
                </c:pt>
                <c:pt idx="38">
                  <c:v>330</c:v>
                </c:pt>
                <c:pt idx="39">
                  <c:v>330</c:v>
                </c:pt>
                <c:pt idx="40">
                  <c:v>340</c:v>
                </c:pt>
                <c:pt idx="41">
                  <c:v>350</c:v>
                </c:pt>
                <c:pt idx="42">
                  <c:v>360</c:v>
                </c:pt>
                <c:pt idx="43">
                  <c:v>380</c:v>
                </c:pt>
                <c:pt idx="44">
                  <c:v>380</c:v>
                </c:pt>
                <c:pt idx="45">
                  <c:v>385</c:v>
                </c:pt>
                <c:pt idx="46">
                  <c:v>390</c:v>
                </c:pt>
                <c:pt idx="47">
                  <c:v>395</c:v>
                </c:pt>
                <c:pt idx="48">
                  <c:v>400</c:v>
                </c:pt>
                <c:pt idx="49">
                  <c:v>400</c:v>
                </c:pt>
                <c:pt idx="50">
                  <c:v>395</c:v>
                </c:pt>
                <c:pt idx="51">
                  <c:v>390</c:v>
                </c:pt>
                <c:pt idx="52">
                  <c:v>390</c:v>
                </c:pt>
                <c:pt idx="53">
                  <c:v>390</c:v>
                </c:pt>
                <c:pt idx="54">
                  <c:v>390</c:v>
                </c:pt>
                <c:pt idx="55">
                  <c:v>395</c:v>
                </c:pt>
                <c:pt idx="56">
                  <c:v>400</c:v>
                </c:pt>
                <c:pt idx="57">
                  <c:v>400</c:v>
                </c:pt>
                <c:pt idx="58">
                  <c:v>400</c:v>
                </c:pt>
                <c:pt idx="59">
                  <c:v>400</c:v>
                </c:pt>
                <c:pt idx="60">
                  <c:v>400</c:v>
                </c:pt>
                <c:pt idx="61">
                  <c:v>400</c:v>
                </c:pt>
                <c:pt idx="62">
                  <c:v>400</c:v>
                </c:pt>
                <c:pt idx="63">
                  <c:v>400</c:v>
                </c:pt>
                <c:pt idx="64">
                  <c:v>400</c:v>
                </c:pt>
                <c:pt idx="65">
                  <c:v>400</c:v>
                </c:pt>
                <c:pt idx="66">
                  <c:v>400</c:v>
                </c:pt>
                <c:pt idx="67">
                  <c:v>410</c:v>
                </c:pt>
                <c:pt idx="68">
                  <c:v>410</c:v>
                </c:pt>
                <c:pt idx="69">
                  <c:v>420</c:v>
                </c:pt>
                <c:pt idx="70">
                  <c:v>420</c:v>
                </c:pt>
                <c:pt idx="71">
                  <c:v>420</c:v>
                </c:pt>
                <c:pt idx="72">
                  <c:v>420</c:v>
                </c:pt>
                <c:pt idx="73">
                  <c:v>430</c:v>
                </c:pt>
                <c:pt idx="74">
                  <c:v>430</c:v>
                </c:pt>
              </c:numCache>
            </c:numRef>
          </c:val>
          <c:smooth val="0"/>
          <c:extLst>
            <c:ext xmlns:c16="http://schemas.microsoft.com/office/drawing/2014/chart" uri="{C3380CC4-5D6E-409C-BE32-E72D297353CC}">
              <c16:uniqueId val="{00000005-8B09-4A30-B997-D90436709FFE}"/>
            </c:ext>
          </c:extLst>
        </c:ser>
        <c:dLbls>
          <c:showLegendKey val="0"/>
          <c:showVal val="0"/>
          <c:showCatName val="0"/>
          <c:showSerName val="0"/>
          <c:showPercent val="0"/>
          <c:showBubbleSize val="0"/>
        </c:dLbls>
        <c:smooth val="0"/>
        <c:axId val="668530448"/>
        <c:axId val="668530840"/>
      </c:lineChart>
      <c:catAx>
        <c:axId val="668530448"/>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AU"/>
                  <a:t>Month/ Year</a:t>
                </a:r>
              </a:p>
            </c:rich>
          </c:tx>
          <c:overlay val="0"/>
        </c:title>
        <c:numFmt formatCode="General" sourceLinked="0"/>
        <c:majorTickMark val="out"/>
        <c:minorTickMark val="none"/>
        <c:tickLblPos val="nextTo"/>
        <c:crossAx val="668530840"/>
        <c:crosses val="autoZero"/>
        <c:auto val="1"/>
        <c:lblAlgn val="ctr"/>
        <c:lblOffset val="100"/>
        <c:noMultiLvlLbl val="0"/>
      </c:catAx>
      <c:valAx>
        <c:axId val="66853084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AU"/>
                  <a:t>Weekly rent ($)</a:t>
                </a:r>
              </a:p>
            </c:rich>
          </c:tx>
          <c:overlay val="0"/>
        </c:title>
        <c:numFmt formatCode="General" sourceLinked="1"/>
        <c:majorTickMark val="out"/>
        <c:minorTickMark val="none"/>
        <c:tickLblPos val="nextTo"/>
        <c:crossAx val="668530448"/>
        <c:crosses val="autoZero"/>
        <c:crossBetween val="between"/>
      </c:valAx>
    </c:plotArea>
    <c:legend>
      <c:legendPos val="r"/>
      <c:layout>
        <c:manualLayout>
          <c:xMode val="edge"/>
          <c:yMode val="edge"/>
          <c:x val="0.70575472600337941"/>
          <c:y val="0.53001594896331738"/>
          <c:w val="0.24494734716864819"/>
          <c:h val="0.27713270290974401"/>
        </c:manualLayout>
      </c:layout>
      <c:overlay val="0"/>
      <c:spPr>
        <a:solidFill>
          <a:schemeClr val="bg1"/>
        </a:solidFill>
      </c:sp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39847415446155"/>
          <c:y val="5.1654560129136412E-2"/>
          <c:w val="0.51668468578733318"/>
          <c:h val="0.88947017216068369"/>
        </c:manualLayout>
      </c:layout>
      <c:barChart>
        <c:barDir val="bar"/>
        <c:grouping val="clustered"/>
        <c:varyColors val="0"/>
        <c:ser>
          <c:idx val="0"/>
          <c:order val="0"/>
          <c:tx>
            <c:strRef>
              <c:f>'rental stress and sh'!$H$62</c:f>
              <c:strCache>
                <c:ptCount val="1"/>
                <c:pt idx="0">
                  <c:v>% social housing</c:v>
                </c:pt>
              </c:strCache>
            </c:strRef>
          </c:tx>
          <c:spPr>
            <a:solidFill>
              <a:srgbClr val="4472C4"/>
            </a:solidFill>
            <a:ln w="19118">
              <a:noFill/>
            </a:ln>
          </c:spPr>
          <c:invertIfNegative val="0"/>
          <c:dLbls>
            <c:spPr>
              <a:noFill/>
              <a:ln w="19118">
                <a:noFill/>
              </a:ln>
            </c:spPr>
            <c:txPr>
              <a:bodyPr rot="0" spcFirstLastPara="1" vertOverflow="ellipsis" vert="horz" wrap="square" anchor="ctr" anchorCtr="1"/>
              <a:lstStyle/>
              <a:p>
                <a:pPr>
                  <a:defRPr sz="677"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'rental stress and sh'!$G$63:$G$77</c:f>
              <c:strCache>
                <c:ptCount val="15"/>
                <c:pt idx="0">
                  <c:v>1 Armstrong Ck, Mt Duneed, Marshall, Charlemont</c:v>
                </c:pt>
                <c:pt idx="1">
                  <c:v>2 Barwon Heads, Ocean Grove, Rural Bellarine</c:v>
                </c:pt>
                <c:pt idx="2">
                  <c:v>3 Clifton Spring,s Curlewis, Drysdale</c:v>
                </c:pt>
                <c:pt idx="3">
                  <c:v>4 Portarlington, Indented Head</c:v>
                </c:pt>
                <c:pt idx="4">
                  <c:v>5 Leopold</c:v>
                </c:pt>
                <c:pt idx="5">
                  <c:v>6 Newcombe, Sth Geelong, St Alban,s Whittington</c:v>
                </c:pt>
                <c:pt idx="6">
                  <c:v>7 Grovedale, Waurn Ponds</c:v>
                </c:pt>
                <c:pt idx="7">
                  <c:v>8 Belmont, Highton</c:v>
                </c:pt>
                <c:pt idx="8">
                  <c:v>9 Geelong, East Geelong</c:v>
                </c:pt>
                <c:pt idx="9">
                  <c:v>10 Geelong West, Newtown</c:v>
                </c:pt>
                <c:pt idx="10">
                  <c:v>11 Bell Park, Bell Post Hill, Nth Geelong</c:v>
                </c:pt>
                <c:pt idx="11">
                  <c:v>12 Hamlyn Heights, Fyansford</c:v>
                </c:pt>
                <c:pt idx="12">
                  <c:v>13 Corio and Norlane</c:v>
                </c:pt>
                <c:pt idx="13">
                  <c:v>14 Lara</c:v>
                </c:pt>
                <c:pt idx="14">
                  <c:v>15 Lovely Banks, Rural North</c:v>
                </c:pt>
              </c:strCache>
            </c:strRef>
          </c:cat>
          <c:val>
            <c:numRef>
              <c:f>'rental stress and sh'!$H$63:$H$77</c:f>
              <c:numCache>
                <c:formatCode>0%</c:formatCode>
                <c:ptCount val="15"/>
                <c:pt idx="0">
                  <c:v>4.4389107191812119E-2</c:v>
                </c:pt>
                <c:pt idx="1">
                  <c:v>5.5549090501512785E-2</c:v>
                </c:pt>
                <c:pt idx="2">
                  <c:v>4.9077733860342566E-2</c:v>
                </c:pt>
                <c:pt idx="3">
                  <c:v>7.8744819419775014E-2</c:v>
                </c:pt>
                <c:pt idx="4">
                  <c:v>5.3549125728559514E-2</c:v>
                </c:pt>
                <c:pt idx="5">
                  <c:v>0.17518844221105528</c:v>
                </c:pt>
                <c:pt idx="6">
                  <c:v>0.10437100213219615</c:v>
                </c:pt>
                <c:pt idx="7">
                  <c:v>9.2007434944237923E-2</c:v>
                </c:pt>
                <c:pt idx="8">
                  <c:v>0.11607358992979909</c:v>
                </c:pt>
                <c:pt idx="9">
                  <c:v>0.10291066634122528</c:v>
                </c:pt>
                <c:pt idx="10">
                  <c:v>0.10304834696054037</c:v>
                </c:pt>
                <c:pt idx="11">
                  <c:v>8.7406454630495789E-2</c:v>
                </c:pt>
                <c:pt idx="12">
                  <c:v>0.26451228361148549</c:v>
                </c:pt>
                <c:pt idx="13">
                  <c:v>6.4102564102564111E-2</c:v>
                </c:pt>
                <c:pt idx="14">
                  <c:v>3.059499661933739E-2</c:v>
                </c:pt>
              </c:numCache>
            </c:numRef>
          </c:val>
          <c:extLst>
            <c:ext xmlns:c16="http://schemas.microsoft.com/office/drawing/2014/chart" uri="{C3380CC4-5D6E-409C-BE32-E72D297353CC}">
              <c16:uniqueId val="{00000000-4CBD-434C-8090-59B860F80B94}"/>
            </c:ext>
          </c:extLst>
        </c:ser>
        <c:dLbls>
          <c:showLegendKey val="0"/>
          <c:showVal val="0"/>
          <c:showCatName val="0"/>
          <c:showSerName val="0"/>
          <c:showPercent val="0"/>
          <c:showBubbleSize val="0"/>
        </c:dLbls>
        <c:gapWidth val="182"/>
        <c:axId val="428278888"/>
        <c:axId val="670807600"/>
      </c:barChart>
      <c:catAx>
        <c:axId val="428278888"/>
        <c:scaling>
          <c:orientation val="minMax"/>
        </c:scaling>
        <c:delete val="0"/>
        <c:axPos val="l"/>
        <c:numFmt formatCode="General" sourceLinked="1"/>
        <c:majorTickMark val="none"/>
        <c:minorTickMark val="none"/>
        <c:tickLblPos val="nextTo"/>
        <c:spPr>
          <a:noFill/>
          <a:ln w="7168" cap="flat" cmpd="sng" algn="ctr">
            <a:solidFill>
              <a:schemeClr val="tx1">
                <a:lumMod val="15000"/>
                <a:lumOff val="85000"/>
              </a:schemeClr>
            </a:solidFill>
            <a:round/>
          </a:ln>
          <a:effectLst/>
        </c:spPr>
        <c:txPr>
          <a:bodyPr rot="-60000000" spcFirstLastPara="1" vertOverflow="ellipsis" vert="horz" wrap="square" anchor="ctr" anchorCtr="1"/>
          <a:lstStyle/>
          <a:p>
            <a:pPr>
              <a:defRPr sz="677" b="1" i="0" u="none" strike="noStrike" kern="1200" baseline="0">
                <a:solidFill>
                  <a:schemeClr val="tx1">
                    <a:lumMod val="65000"/>
                    <a:lumOff val="35000"/>
                  </a:schemeClr>
                </a:solidFill>
                <a:latin typeface="+mn-lt"/>
                <a:ea typeface="+mn-ea"/>
                <a:cs typeface="+mn-cs"/>
              </a:defRPr>
            </a:pPr>
            <a:endParaRPr lang="en-US"/>
          </a:p>
        </c:txPr>
        <c:crossAx val="670807600"/>
        <c:crosses val="autoZero"/>
        <c:auto val="1"/>
        <c:lblAlgn val="ctr"/>
        <c:lblOffset val="100"/>
        <c:noMultiLvlLbl val="0"/>
      </c:catAx>
      <c:valAx>
        <c:axId val="670807600"/>
        <c:scaling>
          <c:orientation val="minMax"/>
        </c:scaling>
        <c:delete val="0"/>
        <c:axPos val="b"/>
        <c:majorGridlines>
          <c:spPr>
            <a:ln w="7168" cap="flat" cmpd="sng" algn="ctr">
              <a:solidFill>
                <a:schemeClr val="tx1">
                  <a:lumMod val="15000"/>
                  <a:lumOff val="85000"/>
                </a:schemeClr>
              </a:solidFill>
              <a:round/>
            </a:ln>
            <a:effectLst/>
          </c:spPr>
        </c:majorGridlines>
        <c:numFmt formatCode="0%" sourceLinked="1"/>
        <c:majorTickMark val="none"/>
        <c:minorTickMark val="none"/>
        <c:tickLblPos val="nextTo"/>
        <c:spPr>
          <a:ln w="4779">
            <a:noFill/>
          </a:ln>
        </c:spPr>
        <c:txPr>
          <a:bodyPr rot="-60000000" spcFirstLastPara="1" vertOverflow="ellipsis" vert="horz" wrap="square" anchor="ctr" anchorCtr="1"/>
          <a:lstStyle/>
          <a:p>
            <a:pPr>
              <a:defRPr sz="677" b="1" i="0" u="none" strike="noStrike" kern="1200" baseline="0">
                <a:solidFill>
                  <a:schemeClr val="tx1">
                    <a:lumMod val="65000"/>
                    <a:lumOff val="35000"/>
                  </a:schemeClr>
                </a:solidFill>
                <a:latin typeface="+mn-lt"/>
                <a:ea typeface="+mn-ea"/>
                <a:cs typeface="+mn-cs"/>
              </a:defRPr>
            </a:pPr>
            <a:endParaRPr lang="en-US"/>
          </a:p>
        </c:txPr>
        <c:crossAx val="428278888"/>
        <c:crosses val="autoZero"/>
        <c:crossBetween val="between"/>
      </c:valAx>
      <c:spPr>
        <a:noFill/>
        <a:ln w="19068">
          <a:noFill/>
        </a:ln>
      </c:spPr>
    </c:plotArea>
    <c:plotVisOnly val="1"/>
    <c:dispBlanksAs val="gap"/>
    <c:showDLblsOverMax val="0"/>
  </c:chart>
  <c:spPr>
    <a:solidFill>
      <a:schemeClr val="bg1"/>
    </a:solidFill>
    <a:ln w="7168" cap="flat" cmpd="sng" algn="ctr">
      <a:solidFill>
        <a:schemeClr val="tx1">
          <a:lumMod val="15000"/>
          <a:lumOff val="85000"/>
        </a:schemeClr>
      </a:solidFill>
      <a:round/>
    </a:ln>
    <a:effectLst/>
  </c:spPr>
  <c:txPr>
    <a:bodyPr/>
    <a:lstStyle/>
    <a:p>
      <a:pPr>
        <a:defRPr b="1"/>
      </a:pPr>
      <a:endParaRPr lang="en-US"/>
    </a:p>
  </c:txPr>
  <c:externalData r:id="rId2">
    <c:autoUpdate val="0"/>
  </c:externalData>
</c:chartSpace>
</file>

<file path=word/theme/theme1.xml><?xml version="1.0" encoding="utf-8"?>
<a:theme xmlns:a="http://schemas.openxmlformats.org/drawingml/2006/main" name="Office Theme">
  <a:themeElements>
    <a:clrScheme name="Custom 3">
      <a:dk1>
        <a:srgbClr val="003361"/>
      </a:dk1>
      <a:lt1>
        <a:sysClr val="window" lastClr="FFFFFF"/>
      </a:lt1>
      <a:dk2>
        <a:srgbClr val="000000"/>
      </a:dk2>
      <a:lt2>
        <a:srgbClr val="E9E8EA"/>
      </a:lt2>
      <a:accent1>
        <a:srgbClr val="99D1DC"/>
      </a:accent1>
      <a:accent2>
        <a:srgbClr val="D5E8F1"/>
      </a:accent2>
      <a:accent3>
        <a:srgbClr val="03488E"/>
      </a:accent3>
      <a:accent4>
        <a:srgbClr val="56B99E"/>
      </a:accent4>
      <a:accent5>
        <a:srgbClr val="FFD25B"/>
      </a:accent5>
      <a:accent6>
        <a:srgbClr val="FFF3C9"/>
      </a:accent6>
      <a:hlink>
        <a:srgbClr val="71CBF4"/>
      </a:hlink>
      <a:folHlink>
        <a:srgbClr val="E74020"/>
      </a:folHlink>
    </a:clrScheme>
    <a:fontScheme name="Custom 1">
      <a:majorFont>
        <a:latin typeface="Avenir LT Std 55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5D13B-B383-4FFB-AB2C-9C2E5F7F53C1}">
  <ds:schemaRefs>
    <ds:schemaRef ds:uri="http://www.w3.org/2001/XMLSchema"/>
  </ds:schemaRefs>
</ds:datastoreItem>
</file>

<file path=customXml/itemProps2.xml><?xml version="1.0" encoding="utf-8"?>
<ds:datastoreItem xmlns:ds="http://schemas.openxmlformats.org/officeDocument/2006/customXml" ds:itemID="{C7A8837D-2AFA-48BD-84A0-20CEEEC4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92</Pages>
  <Words>28427</Words>
  <Characters>162035</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2011</vt:lpstr>
    </vt:vector>
  </TitlesOfParts>
  <Company> </Company>
  <LinksUpToDate>false</LinksUpToDate>
  <CharactersWithSpaces>190082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dc:title>
  <dc:subject/>
  <dc:creator>Becki Kenworthy</dc:creator>
  <cp:keywords/>
  <dc:description/>
  <cp:lastModifiedBy>Denise Carabott</cp:lastModifiedBy>
  <cp:revision>5</cp:revision>
  <cp:lastPrinted>2020-02-03T23:17:00Z</cp:lastPrinted>
  <dcterms:created xsi:type="dcterms:W3CDTF">2020-02-27T04:03:00Z</dcterms:created>
  <dcterms:modified xsi:type="dcterms:W3CDTF">2020-09-03T03:42:00Z</dcterms:modified>
</cp:coreProperties>
</file>