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D3969" w14:textId="77777777" w:rsidR="00390299" w:rsidRDefault="004D2DEE" w:rsidP="00390299">
      <w:pPr>
        <w:pStyle w:val="Title"/>
        <w:tabs>
          <w:tab w:val="right" w:pos="10773"/>
        </w:tabs>
        <w:spacing w:before="800"/>
      </w:pPr>
      <w:r>
        <w:rPr>
          <w:noProof/>
        </w:rPr>
        <w:drawing>
          <wp:anchor distT="0" distB="0" distL="114300" distR="114300" simplePos="0" relativeHeight="251660288" behindDoc="1" locked="0" layoutInCell="1" allowOverlap="1" wp14:anchorId="1AEF8D9C" wp14:editId="73185490">
            <wp:simplePos x="504825" y="1200150"/>
            <wp:positionH relativeFrom="page">
              <wp:align>left</wp:align>
            </wp:positionH>
            <wp:positionV relativeFrom="page">
              <wp:align>top</wp:align>
            </wp:positionV>
            <wp:extent cx="7560000" cy="1962000"/>
            <wp:effectExtent l="0" t="0" r="0" b="635"/>
            <wp:wrapNone/>
            <wp:docPr id="3"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390299">
        <w:rPr>
          <w:noProof/>
        </w:rPr>
        <w:drawing>
          <wp:anchor distT="0" distB="0" distL="114300" distR="114300" simplePos="0" relativeHeight="251662336" behindDoc="1" locked="0" layoutInCell="1" allowOverlap="1" wp14:anchorId="5AB70352" wp14:editId="3A07559A">
            <wp:simplePos x="504825" y="1200150"/>
            <wp:positionH relativeFrom="page">
              <wp:align>left</wp:align>
            </wp:positionH>
            <wp:positionV relativeFrom="page">
              <wp:align>top</wp:align>
            </wp:positionV>
            <wp:extent cx="7560000" cy="1962000"/>
            <wp:effectExtent l="0" t="0" r="0" b="635"/>
            <wp:wrapNone/>
            <wp:docPr id="1" name="COGG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sthead.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962000"/>
                    </a:xfrm>
                    <a:prstGeom prst="rect">
                      <a:avLst/>
                    </a:prstGeom>
                  </pic:spPr>
                </pic:pic>
              </a:graphicData>
            </a:graphic>
            <wp14:sizeRelH relativeFrom="margin">
              <wp14:pctWidth>0</wp14:pctWidth>
            </wp14:sizeRelH>
            <wp14:sizeRelV relativeFrom="margin">
              <wp14:pctHeight>0</wp14:pctHeight>
            </wp14:sizeRelV>
          </wp:anchor>
        </w:drawing>
      </w:r>
      <w:r w:rsidR="00390299">
        <w:t>about Special rate and</w:t>
      </w:r>
    </w:p>
    <w:p w14:paraId="6801BAC7" w14:textId="72705698" w:rsidR="00113B8E" w:rsidRDefault="00390299" w:rsidP="00390299">
      <w:pPr>
        <w:pStyle w:val="Title"/>
        <w:tabs>
          <w:tab w:val="right" w:pos="10773"/>
        </w:tabs>
        <w:spacing w:before="800"/>
      </w:pPr>
      <w:r>
        <w:t>charge schemes</w:t>
      </w:r>
      <w:r w:rsidR="008143BB">
        <w:tab/>
      </w:r>
    </w:p>
    <w:p w14:paraId="25674FAB" w14:textId="77777777" w:rsidR="00603066" w:rsidRPr="00603066" w:rsidRDefault="00603066" w:rsidP="00603066"/>
    <w:p w14:paraId="179FB41E" w14:textId="7EF8C197" w:rsidR="00390299" w:rsidRDefault="00390299" w:rsidP="00390299">
      <w:pPr>
        <w:pStyle w:val="Introduction"/>
        <w:ind w:left="142"/>
      </w:pPr>
      <w:r w:rsidRPr="00DA3574">
        <w:t xml:space="preserve">Every year, </w:t>
      </w:r>
      <w:r>
        <w:t>we undertake a series of major works projects to</w:t>
      </w:r>
      <w:r w:rsidRPr="00DA3574">
        <w:t xml:space="preserve"> improve</w:t>
      </w:r>
      <w:r>
        <w:t xml:space="preserve"> </w:t>
      </w:r>
      <w:r w:rsidRPr="00DA3574">
        <w:t>local streetscape</w:t>
      </w:r>
      <w:r>
        <w:t>s</w:t>
      </w:r>
      <w:r w:rsidRPr="00DA3574">
        <w:t xml:space="preserve">. </w:t>
      </w:r>
      <w:r>
        <w:t xml:space="preserve">Most projects come about due to requests from </w:t>
      </w:r>
      <w:r w:rsidRPr="00DA3574">
        <w:t>resident</w:t>
      </w:r>
      <w:r>
        <w:t>s</w:t>
      </w:r>
      <w:r w:rsidRPr="00DA3574">
        <w:t xml:space="preserve"> </w:t>
      </w:r>
      <w:r>
        <w:t xml:space="preserve">and </w:t>
      </w:r>
      <w:r w:rsidRPr="00DA3574">
        <w:t>property owner</w:t>
      </w:r>
      <w:r>
        <w:t xml:space="preserve">s for new or improved roads, </w:t>
      </w:r>
      <w:proofErr w:type="gramStart"/>
      <w:r>
        <w:t>footpaths</w:t>
      </w:r>
      <w:proofErr w:type="gramEnd"/>
      <w:r>
        <w:t xml:space="preserve"> or drainage. However,</w:t>
      </w:r>
      <w:r w:rsidRPr="00DA3574">
        <w:t xml:space="preserve"> </w:t>
      </w:r>
      <w:r>
        <w:t xml:space="preserve">sometimes works are required because the existing infrastructure no longer meets modern standards. </w:t>
      </w:r>
    </w:p>
    <w:p w14:paraId="15715145" w14:textId="3FE559F6" w:rsidR="00390299" w:rsidRDefault="00390299" w:rsidP="00390299">
      <w:pPr>
        <w:pStyle w:val="BodyText"/>
        <w:ind w:left="142"/>
      </w:pPr>
      <w:r>
        <w:t xml:space="preserve">If </w:t>
      </w:r>
      <w:r w:rsidR="00B70BE5">
        <w:t xml:space="preserve">nearby </w:t>
      </w:r>
      <w:r>
        <w:t>property owners benefit from the proposed wor</w:t>
      </w:r>
      <w:r w:rsidR="007062B5">
        <w:t>k</w:t>
      </w:r>
      <w:r w:rsidR="00FE49ED">
        <w:t xml:space="preserve">s, </w:t>
      </w:r>
      <w:r>
        <w:t xml:space="preserve">we may declare a special rate or charge requiring </w:t>
      </w:r>
      <w:r w:rsidR="00B70BE5">
        <w:t xml:space="preserve">those property </w:t>
      </w:r>
      <w:r>
        <w:t xml:space="preserve">owners to contribute to the cost of the work. </w:t>
      </w:r>
      <w:r w:rsidR="0040772E">
        <w:t xml:space="preserve"> </w:t>
      </w:r>
      <w:r>
        <w:t>However, this only happens after a thorough process of investigation and engagement with those likely to</w:t>
      </w:r>
      <w:r w:rsidR="00B70BE5">
        <w:t xml:space="preserve"> </w:t>
      </w:r>
      <w:proofErr w:type="gramStart"/>
      <w:r w:rsidR="00B70BE5">
        <w:t>benefit</w:t>
      </w:r>
      <w:r>
        <w:t xml:space="preserve"> .</w:t>
      </w:r>
      <w:proofErr w:type="gramEnd"/>
      <w:r>
        <w:t xml:space="preserve"> </w:t>
      </w:r>
    </w:p>
    <w:p w14:paraId="3747755F" w14:textId="7E2F9C63" w:rsidR="00390299" w:rsidRDefault="00390299" w:rsidP="00390299">
      <w:pPr>
        <w:pStyle w:val="BodyText"/>
        <w:ind w:left="142"/>
      </w:pPr>
      <w:r>
        <w:t>Th</w:t>
      </w:r>
      <w:r w:rsidR="00B70BE5">
        <w:t>is</w:t>
      </w:r>
      <w:r>
        <w:t xml:space="preserve"> fact sheet provide</w:t>
      </w:r>
      <w:r w:rsidR="00B70BE5">
        <w:t>s</w:t>
      </w:r>
      <w:r>
        <w:t xml:space="preserve"> general information about special rate and charge schemes. For detailed information about </w:t>
      </w:r>
      <w:r w:rsidR="00B70BE5">
        <w:t>a</w:t>
      </w:r>
      <w:r>
        <w:t xml:space="preserve"> scheme </w:t>
      </w:r>
      <w:r w:rsidR="00B70BE5">
        <w:t>near</w:t>
      </w:r>
      <w:r>
        <w:t xml:space="preserve"> your property, vi</w:t>
      </w:r>
      <w:r w:rsidRPr="004513C1">
        <w:t xml:space="preserve">sit </w:t>
      </w:r>
      <w:hyperlink r:id="rId13" w:history="1">
        <w:r w:rsidR="00215360">
          <w:rPr>
            <w:rStyle w:val="Hyperlink"/>
          </w:rPr>
          <w:t>https://yoursay.geelongaustralia.com.au/SRC</w:t>
        </w:r>
      </w:hyperlink>
    </w:p>
    <w:p w14:paraId="4B6E84EB" w14:textId="77777777" w:rsidR="00390299" w:rsidRDefault="00390299" w:rsidP="00390299">
      <w:pPr>
        <w:pStyle w:val="Heading1"/>
        <w:ind w:left="142"/>
      </w:pPr>
      <w:r>
        <w:t>the process</w:t>
      </w:r>
    </w:p>
    <w:p w14:paraId="69EE092E" w14:textId="5326A033" w:rsidR="00390299" w:rsidRDefault="00390299" w:rsidP="00390299">
      <w:pPr>
        <w:pStyle w:val="BodyText"/>
        <w:ind w:left="142"/>
      </w:pPr>
      <w:r>
        <w:t xml:space="preserve">While all projects </w:t>
      </w:r>
      <w:r w:rsidR="00ED3012">
        <w:t xml:space="preserve">likely to involve </w:t>
      </w:r>
      <w:r>
        <w:t xml:space="preserve">a special rate and charge follow a similar process, bigger projects will generally involve more </w:t>
      </w:r>
      <w:r w:rsidR="00197639">
        <w:t>consultation</w:t>
      </w:r>
      <w:r>
        <w:t xml:space="preserve"> with property owners. </w:t>
      </w:r>
      <w:r w:rsidR="0050149F">
        <w:t xml:space="preserve"> </w:t>
      </w:r>
      <w:r>
        <w:t>The basic steps are:</w:t>
      </w:r>
    </w:p>
    <w:tbl>
      <w:tblPr>
        <w:tblStyle w:val="TableGrid"/>
        <w:tblW w:w="10490" w:type="dxa"/>
        <w:tblInd w:w="137" w:type="dxa"/>
        <w:tblBorders>
          <w:top w:val="none" w:sz="0" w:space="0" w:color="auto"/>
          <w:bottom w:val="none" w:sz="0" w:space="0" w:color="auto"/>
          <w:insideH w:val="none" w:sz="0" w:space="0" w:color="auto"/>
        </w:tblBorders>
        <w:tblCellMar>
          <w:left w:w="85" w:type="dxa"/>
        </w:tblCellMar>
        <w:tblLook w:val="04A0" w:firstRow="1" w:lastRow="0" w:firstColumn="1" w:lastColumn="0" w:noHBand="0" w:noVBand="1"/>
      </w:tblPr>
      <w:tblGrid>
        <w:gridCol w:w="3124"/>
        <w:gridCol w:w="7366"/>
      </w:tblGrid>
      <w:tr w:rsidR="00390299" w14:paraId="1C4939C0" w14:textId="77777777" w:rsidTr="007521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4" w:type="dxa"/>
            <w:tcBorders>
              <w:bottom w:val="single" w:sz="4" w:space="0" w:color="auto"/>
            </w:tcBorders>
            <w:shd w:val="clear" w:color="auto" w:fill="002060"/>
            <w:vAlign w:val="top"/>
          </w:tcPr>
          <w:p w14:paraId="3F1AACE8" w14:textId="77777777" w:rsidR="00390299" w:rsidRPr="00902165" w:rsidRDefault="00390299" w:rsidP="00390299">
            <w:pPr>
              <w:pStyle w:val="BodyText"/>
              <w:ind w:left="142"/>
              <w:rPr>
                <w:noProof/>
              </w:rPr>
            </w:pPr>
            <w:r>
              <w:rPr>
                <w:noProof/>
              </w:rPr>
              <w:t>Project stage</w:t>
            </w:r>
          </w:p>
        </w:tc>
        <w:tc>
          <w:tcPr>
            <w:tcW w:w="7366" w:type="dxa"/>
            <w:tcBorders>
              <w:bottom w:val="single" w:sz="4" w:space="0" w:color="auto"/>
            </w:tcBorders>
            <w:shd w:val="clear" w:color="auto" w:fill="002060"/>
            <w:vAlign w:val="top"/>
          </w:tcPr>
          <w:p w14:paraId="7D681060" w14:textId="77777777" w:rsidR="00390299" w:rsidRPr="00902165" w:rsidRDefault="00390299" w:rsidP="00390299">
            <w:pPr>
              <w:pStyle w:val="BodyText"/>
              <w:ind w:left="142"/>
              <w:cnfStyle w:val="100000000000" w:firstRow="1" w:lastRow="0" w:firstColumn="0" w:lastColumn="0" w:oddVBand="0" w:evenVBand="0" w:oddHBand="0" w:evenHBand="0" w:firstRowFirstColumn="0" w:firstRowLastColumn="0" w:lastRowFirstColumn="0" w:lastRowLastColumn="0"/>
            </w:pPr>
            <w:r>
              <w:t>what happens</w:t>
            </w:r>
          </w:p>
        </w:tc>
      </w:tr>
      <w:tr w:rsidR="00390299" w14:paraId="4286BD0A" w14:textId="77777777" w:rsidTr="0075216C">
        <w:tc>
          <w:tcPr>
            <w:cnfStyle w:val="001000000000" w:firstRow="0" w:lastRow="0" w:firstColumn="1" w:lastColumn="0" w:oddVBand="0" w:evenVBand="0" w:oddHBand="0" w:evenHBand="0" w:firstRowFirstColumn="0" w:firstRowLastColumn="0" w:lastRowFirstColumn="0" w:lastRowLastColumn="0"/>
            <w:tcW w:w="3124" w:type="dxa"/>
            <w:tcBorders>
              <w:top w:val="single" w:sz="4" w:space="0" w:color="auto"/>
              <w:bottom w:val="single" w:sz="4" w:space="0" w:color="auto"/>
            </w:tcBorders>
            <w:vAlign w:val="top"/>
          </w:tcPr>
          <w:p w14:paraId="40392C6E" w14:textId="77777777" w:rsidR="00390299" w:rsidRPr="00902165" w:rsidRDefault="00390299" w:rsidP="00390299">
            <w:pPr>
              <w:pStyle w:val="BodyText"/>
              <w:ind w:left="142"/>
              <w:rPr>
                <w:sz w:val="18"/>
              </w:rPr>
            </w:pPr>
            <w:r w:rsidRPr="00902165">
              <w:rPr>
                <w:noProof/>
              </w:rPr>
              <mc:AlternateContent>
                <mc:Choice Requires="wps">
                  <w:drawing>
                    <wp:anchor distT="0" distB="0" distL="114300" distR="114300" simplePos="0" relativeHeight="251664384" behindDoc="0" locked="0" layoutInCell="1" allowOverlap="1" wp14:anchorId="40486516" wp14:editId="09C65CF8">
                      <wp:simplePos x="0" y="0"/>
                      <wp:positionH relativeFrom="column">
                        <wp:posOffset>139700</wp:posOffset>
                      </wp:positionH>
                      <wp:positionV relativeFrom="paragraph">
                        <wp:posOffset>100330</wp:posOffset>
                      </wp:positionV>
                      <wp:extent cx="180975" cy="175895"/>
                      <wp:effectExtent l="0" t="0" r="9525" b="0"/>
                      <wp:wrapSquare wrapText="bothSides"/>
                      <wp:docPr id="8" name="Flowchart: Connector 8"/>
                      <wp:cNvGraphicFramePr/>
                      <a:graphic xmlns:a="http://schemas.openxmlformats.org/drawingml/2006/main">
                        <a:graphicData uri="http://schemas.microsoft.com/office/word/2010/wordprocessingShape">
                          <wps:wsp>
                            <wps:cNvSpPr/>
                            <wps:spPr>
                              <a:xfrm>
                                <a:off x="0" y="0"/>
                                <a:ext cx="180975" cy="175895"/>
                              </a:xfrm>
                              <a:prstGeom prst="flowChartConnector">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B1A00B"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8" o:spid="_x0000_s1026" type="#_x0000_t120" style="position:absolute;margin-left:11pt;margin-top:7.9pt;width:14.25pt;height:13.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" fillcolor="#002060" stroked="f" strokeweight="2pt">
                      <w10:wrap type="square"/>
                    </v:shape>
                  </w:pict>
                </mc:Fallback>
              </mc:AlternateContent>
            </w:r>
            <w:r w:rsidRPr="00902165">
              <w:rPr>
                <w:sz w:val="18"/>
              </w:rPr>
              <w:t xml:space="preserve">Project initiation  </w:t>
            </w:r>
            <w:r>
              <w:rPr>
                <w:sz w:val="18"/>
              </w:rPr>
              <w:t xml:space="preserve"> </w:t>
            </w:r>
          </w:p>
        </w:tc>
        <w:tc>
          <w:tcPr>
            <w:tcW w:w="7366" w:type="dxa"/>
            <w:tcBorders>
              <w:top w:val="single" w:sz="4" w:space="0" w:color="auto"/>
              <w:bottom w:val="single" w:sz="4" w:space="0" w:color="auto"/>
            </w:tcBorders>
            <w:vAlign w:val="top"/>
          </w:tcPr>
          <w:p w14:paraId="6C6A3BD8" w14:textId="0BDC9E5F" w:rsidR="00390299" w:rsidRPr="00390299" w:rsidRDefault="00390299" w:rsidP="00390299">
            <w:pPr>
              <w:widowControl w:val="0"/>
              <w:tabs>
                <w:tab w:val="left" w:pos="546"/>
              </w:tabs>
              <w:autoSpaceDE w:val="0"/>
              <w:autoSpaceDN w:val="0"/>
              <w:spacing w:before="100" w:after="200"/>
              <w:ind w:left="142" w:right="125"/>
              <w:cnfStyle w:val="000000000000" w:firstRow="0" w:lastRow="0" w:firstColumn="0" w:lastColumn="0" w:oddVBand="0" w:evenVBand="0" w:oddHBand="0" w:evenHBand="0" w:firstRowFirstColumn="0" w:firstRowLastColumn="0" w:lastRowFirstColumn="0" w:lastRowLastColumn="0"/>
              <w:rPr>
                <w:sz w:val="18"/>
              </w:rPr>
            </w:pPr>
            <w:r w:rsidRPr="00390299">
              <w:rPr>
                <w:sz w:val="18"/>
              </w:rPr>
              <w:t xml:space="preserve">In most cases, we’ll receive requests from property owners or residents asking for new </w:t>
            </w:r>
            <w:r w:rsidR="00B70BE5">
              <w:rPr>
                <w:sz w:val="18"/>
              </w:rPr>
              <w:t xml:space="preserve">or upgraded </w:t>
            </w:r>
            <w:r w:rsidRPr="00390299">
              <w:rPr>
                <w:sz w:val="18"/>
              </w:rPr>
              <w:t xml:space="preserve">infrastructure in their street, but sometimes we will initiate the project. </w:t>
            </w:r>
            <w:r w:rsidR="0050149F">
              <w:rPr>
                <w:sz w:val="18"/>
              </w:rPr>
              <w:t xml:space="preserve"> </w:t>
            </w:r>
            <w:r w:rsidRPr="00390299">
              <w:rPr>
                <w:sz w:val="18"/>
              </w:rPr>
              <w:t xml:space="preserve">In both cases, we will conduct a preliminary </w:t>
            </w:r>
            <w:r w:rsidR="00B70BE5">
              <w:rPr>
                <w:sz w:val="18"/>
              </w:rPr>
              <w:t>assessment</w:t>
            </w:r>
            <w:r w:rsidRPr="00390299">
              <w:rPr>
                <w:sz w:val="18"/>
              </w:rPr>
              <w:t xml:space="preserve">. </w:t>
            </w:r>
          </w:p>
        </w:tc>
      </w:tr>
      <w:tr w:rsidR="00390299" w14:paraId="1A5A7CD7" w14:textId="77777777" w:rsidTr="0075216C">
        <w:tc>
          <w:tcPr>
            <w:cnfStyle w:val="001000000000" w:firstRow="0" w:lastRow="0" w:firstColumn="1" w:lastColumn="0" w:oddVBand="0" w:evenVBand="0" w:oddHBand="0" w:evenHBand="0" w:firstRowFirstColumn="0" w:firstRowLastColumn="0" w:lastRowFirstColumn="0" w:lastRowLastColumn="0"/>
            <w:tcW w:w="3124" w:type="dxa"/>
            <w:tcBorders>
              <w:top w:val="single" w:sz="4" w:space="0" w:color="auto"/>
              <w:bottom w:val="single" w:sz="4" w:space="0" w:color="auto"/>
            </w:tcBorders>
            <w:vAlign w:val="top"/>
          </w:tcPr>
          <w:p w14:paraId="460EEDF1" w14:textId="77777777" w:rsidR="00390299" w:rsidRPr="00902165" w:rsidRDefault="00390299" w:rsidP="00390299">
            <w:pPr>
              <w:pStyle w:val="BodyText"/>
              <w:ind w:left="142"/>
              <w:rPr>
                <w:noProof/>
              </w:rPr>
            </w:pPr>
            <w:r w:rsidRPr="00902165">
              <w:rPr>
                <w:noProof/>
              </w:rPr>
              <mc:AlternateContent>
                <mc:Choice Requires="wps">
                  <w:drawing>
                    <wp:anchor distT="0" distB="0" distL="114300" distR="114300" simplePos="0" relativeHeight="251667456" behindDoc="0" locked="0" layoutInCell="1" allowOverlap="1" wp14:anchorId="1E016342" wp14:editId="09C21F4E">
                      <wp:simplePos x="0" y="0"/>
                      <wp:positionH relativeFrom="column">
                        <wp:posOffset>135445</wp:posOffset>
                      </wp:positionH>
                      <wp:positionV relativeFrom="paragraph">
                        <wp:posOffset>95250</wp:posOffset>
                      </wp:positionV>
                      <wp:extent cx="180975" cy="175895"/>
                      <wp:effectExtent l="0" t="0" r="9525" b="0"/>
                      <wp:wrapSquare wrapText="bothSides"/>
                      <wp:docPr id="2" name="Flowchart: Connector 2"/>
                      <wp:cNvGraphicFramePr/>
                      <a:graphic xmlns:a="http://schemas.openxmlformats.org/drawingml/2006/main">
                        <a:graphicData uri="http://schemas.microsoft.com/office/word/2010/wordprocessingShape">
                          <wps:wsp>
                            <wps:cNvSpPr/>
                            <wps:spPr>
                              <a:xfrm>
                                <a:off x="0" y="0"/>
                                <a:ext cx="180975" cy="175895"/>
                              </a:xfrm>
                              <a:prstGeom prst="flowChartConnector">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AAECD" id="Flowchart: Connector 2" o:spid="_x0000_s1026" type="#_x0000_t120" style="position:absolute;margin-left:10.65pt;margin-top:7.5pt;width:14.25pt;height:13.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" fillcolor="#002060" stroked="f" strokeweight="2pt">
                      <w10:wrap type="square"/>
                    </v:shape>
                  </w:pict>
                </mc:Fallback>
              </mc:AlternateContent>
            </w:r>
            <w:r>
              <w:rPr>
                <w:noProof/>
                <w:sz w:val="18"/>
              </w:rPr>
              <w:t>project assessment</w:t>
            </w:r>
          </w:p>
        </w:tc>
        <w:tc>
          <w:tcPr>
            <w:tcW w:w="7366" w:type="dxa"/>
            <w:tcBorders>
              <w:top w:val="single" w:sz="4" w:space="0" w:color="auto"/>
              <w:bottom w:val="single" w:sz="4" w:space="0" w:color="auto"/>
            </w:tcBorders>
            <w:vAlign w:val="top"/>
          </w:tcPr>
          <w:p w14:paraId="45CB1110" w14:textId="00B8F4BE" w:rsidR="00390299" w:rsidRPr="00390299" w:rsidRDefault="00390299" w:rsidP="00390299">
            <w:pPr>
              <w:widowControl w:val="0"/>
              <w:tabs>
                <w:tab w:val="left" w:pos="546"/>
              </w:tabs>
              <w:autoSpaceDE w:val="0"/>
              <w:autoSpaceDN w:val="0"/>
              <w:spacing w:before="100" w:after="200"/>
              <w:ind w:left="142" w:right="125"/>
              <w:cnfStyle w:val="000000000000" w:firstRow="0" w:lastRow="0" w:firstColumn="0" w:lastColumn="0" w:oddVBand="0" w:evenVBand="0" w:oddHBand="0" w:evenHBand="0" w:firstRowFirstColumn="0" w:firstRowLastColumn="0" w:lastRowFirstColumn="0" w:lastRowLastColumn="0"/>
              <w:rPr>
                <w:sz w:val="18"/>
              </w:rPr>
            </w:pPr>
            <w:r w:rsidRPr="00390299">
              <w:rPr>
                <w:sz w:val="18"/>
              </w:rPr>
              <w:t xml:space="preserve">If </w:t>
            </w:r>
            <w:r w:rsidR="001F1E7B">
              <w:rPr>
                <w:sz w:val="18"/>
              </w:rPr>
              <w:t xml:space="preserve">the </w:t>
            </w:r>
            <w:r w:rsidRPr="00390299">
              <w:rPr>
                <w:sz w:val="18"/>
              </w:rPr>
              <w:t xml:space="preserve">project </w:t>
            </w:r>
            <w:r w:rsidR="00A43AE6">
              <w:rPr>
                <w:sz w:val="18"/>
              </w:rPr>
              <w:t xml:space="preserve">appears to have </w:t>
            </w:r>
            <w:r w:rsidRPr="00390299">
              <w:rPr>
                <w:sz w:val="18"/>
              </w:rPr>
              <w:t xml:space="preserve">merit, </w:t>
            </w:r>
            <w:r>
              <w:rPr>
                <w:sz w:val="18"/>
              </w:rPr>
              <w:t xml:space="preserve">we’ll </w:t>
            </w:r>
            <w:r w:rsidRPr="00390299">
              <w:rPr>
                <w:sz w:val="18"/>
              </w:rPr>
              <w:t>investigate costs, expected benefits to the community and nearby property owners</w:t>
            </w:r>
            <w:r w:rsidR="00984E09">
              <w:rPr>
                <w:sz w:val="18"/>
              </w:rPr>
              <w:t>,</w:t>
            </w:r>
            <w:r w:rsidRPr="00390299">
              <w:rPr>
                <w:sz w:val="18"/>
              </w:rPr>
              <w:t xml:space="preserve"> and options for staging the project. </w:t>
            </w:r>
          </w:p>
        </w:tc>
      </w:tr>
      <w:tr w:rsidR="00390299" w14:paraId="2DF3EBBE" w14:textId="77777777" w:rsidTr="0075216C">
        <w:trPr>
          <w:trHeight w:val="678"/>
        </w:trPr>
        <w:tc>
          <w:tcPr>
            <w:cnfStyle w:val="001000000000" w:firstRow="0" w:lastRow="0" w:firstColumn="1" w:lastColumn="0" w:oddVBand="0" w:evenVBand="0" w:oddHBand="0" w:evenHBand="0" w:firstRowFirstColumn="0" w:firstRowLastColumn="0" w:lastRowFirstColumn="0" w:lastRowLastColumn="0"/>
            <w:tcW w:w="3124" w:type="dxa"/>
            <w:tcBorders>
              <w:top w:val="single" w:sz="4" w:space="0" w:color="auto"/>
              <w:bottom w:val="single" w:sz="4" w:space="0" w:color="auto"/>
            </w:tcBorders>
            <w:vAlign w:val="top"/>
          </w:tcPr>
          <w:p w14:paraId="1C73F868" w14:textId="77777777" w:rsidR="00390299" w:rsidRPr="001C219C" w:rsidRDefault="00390299" w:rsidP="00390299">
            <w:pPr>
              <w:pStyle w:val="BodyText"/>
              <w:ind w:left="142"/>
              <w:rPr>
                <w:noProof/>
              </w:rPr>
            </w:pPr>
            <w:r w:rsidRPr="00902165">
              <w:rPr>
                <w:noProof/>
              </w:rPr>
              <mc:AlternateContent>
                <mc:Choice Requires="wps">
                  <w:drawing>
                    <wp:anchor distT="0" distB="0" distL="114300" distR="114300" simplePos="0" relativeHeight="251665408" behindDoc="0" locked="0" layoutInCell="1" allowOverlap="1" wp14:anchorId="40327B12" wp14:editId="74637B7D">
                      <wp:simplePos x="0" y="0"/>
                      <wp:positionH relativeFrom="column">
                        <wp:posOffset>144145</wp:posOffset>
                      </wp:positionH>
                      <wp:positionV relativeFrom="paragraph">
                        <wp:posOffset>86995</wp:posOffset>
                      </wp:positionV>
                      <wp:extent cx="180975" cy="175895"/>
                      <wp:effectExtent l="0" t="0" r="9525" b="0"/>
                      <wp:wrapSquare wrapText="bothSides"/>
                      <wp:docPr id="13" name="Flowchart: Connector 13"/>
                      <wp:cNvGraphicFramePr/>
                      <a:graphic xmlns:a="http://schemas.openxmlformats.org/drawingml/2006/main">
                        <a:graphicData uri="http://schemas.microsoft.com/office/word/2010/wordprocessingShape">
                          <wps:wsp>
                            <wps:cNvSpPr/>
                            <wps:spPr>
                              <a:xfrm>
                                <a:off x="0" y="0"/>
                                <a:ext cx="180975" cy="175895"/>
                              </a:xfrm>
                              <a:prstGeom prst="flowChartConnector">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4D4A0" id="Flowchart: Connector 13" o:spid="_x0000_s1026" type="#_x0000_t120" style="position:absolute;margin-left:11.35pt;margin-top:6.85pt;width:14.25pt;height:1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" fillcolor="#002060" stroked="f" strokeweight="2pt">
                      <w10:wrap type="square"/>
                    </v:shape>
                  </w:pict>
                </mc:Fallback>
              </mc:AlternateContent>
            </w:r>
            <w:r>
              <w:rPr>
                <w:noProof/>
                <w:sz w:val="18"/>
              </w:rPr>
              <w:t xml:space="preserve">Community </w:t>
            </w:r>
            <w:r w:rsidRPr="000C69B9">
              <w:rPr>
                <w:noProof/>
                <w:sz w:val="18"/>
              </w:rPr>
              <w:t>Engagement</w:t>
            </w:r>
          </w:p>
        </w:tc>
        <w:tc>
          <w:tcPr>
            <w:tcW w:w="7366" w:type="dxa"/>
            <w:tcBorders>
              <w:top w:val="single" w:sz="4" w:space="0" w:color="auto"/>
              <w:bottom w:val="single" w:sz="4" w:space="0" w:color="auto"/>
            </w:tcBorders>
            <w:vAlign w:val="top"/>
          </w:tcPr>
          <w:p w14:paraId="280D7F61" w14:textId="55B2B43C" w:rsidR="00390299" w:rsidRPr="00390299" w:rsidRDefault="00621363" w:rsidP="00390299">
            <w:pPr>
              <w:widowControl w:val="0"/>
              <w:tabs>
                <w:tab w:val="left" w:pos="546"/>
              </w:tabs>
              <w:autoSpaceDE w:val="0"/>
              <w:autoSpaceDN w:val="0"/>
              <w:spacing w:before="100" w:after="200"/>
              <w:ind w:left="142" w:right="125"/>
              <w:cnfStyle w:val="000000000000" w:firstRow="0" w:lastRow="0" w:firstColumn="0" w:lastColumn="0" w:oddVBand="0" w:evenVBand="0" w:oddHBand="0" w:evenHBand="0" w:firstRowFirstColumn="0" w:firstRowLastColumn="0" w:lastRowFirstColumn="0" w:lastRowLastColumn="0"/>
              <w:rPr>
                <w:sz w:val="18"/>
              </w:rPr>
            </w:pPr>
            <w:r>
              <w:rPr>
                <w:sz w:val="18"/>
              </w:rPr>
              <w:t xml:space="preserve">Once </w:t>
            </w:r>
            <w:r w:rsidR="00597307">
              <w:rPr>
                <w:sz w:val="18"/>
              </w:rPr>
              <w:t>we have</w:t>
            </w:r>
            <w:r w:rsidR="00F64AE8">
              <w:rPr>
                <w:sz w:val="18"/>
              </w:rPr>
              <w:t xml:space="preserve"> costed </w:t>
            </w:r>
            <w:r w:rsidR="00DA61F7">
              <w:rPr>
                <w:sz w:val="18"/>
              </w:rPr>
              <w:t xml:space="preserve">the </w:t>
            </w:r>
            <w:r w:rsidR="00597307">
              <w:rPr>
                <w:sz w:val="18"/>
              </w:rPr>
              <w:t>proposal, w</w:t>
            </w:r>
            <w:r w:rsidR="00390299" w:rsidRPr="00390299">
              <w:rPr>
                <w:sz w:val="18"/>
              </w:rPr>
              <w:t xml:space="preserve">e </w:t>
            </w:r>
            <w:r w:rsidR="00984E09">
              <w:rPr>
                <w:sz w:val="18"/>
              </w:rPr>
              <w:t xml:space="preserve">will </w:t>
            </w:r>
            <w:r w:rsidR="00390299" w:rsidRPr="00390299">
              <w:rPr>
                <w:sz w:val="18"/>
              </w:rPr>
              <w:t xml:space="preserve">seek initial feedback from property owners to determine if they support the scheme. </w:t>
            </w:r>
            <w:r w:rsidR="00AE404C">
              <w:rPr>
                <w:sz w:val="18"/>
              </w:rPr>
              <w:t xml:space="preserve"> </w:t>
            </w:r>
            <w:r w:rsidR="00390299" w:rsidRPr="00390299">
              <w:rPr>
                <w:sz w:val="18"/>
              </w:rPr>
              <w:t>If there is enough support, an ‘intention to declare</w:t>
            </w:r>
            <w:r w:rsidR="00B70BE5">
              <w:rPr>
                <w:sz w:val="18"/>
              </w:rPr>
              <w:t>’</w:t>
            </w:r>
            <w:r w:rsidR="00390299" w:rsidRPr="00390299">
              <w:rPr>
                <w:sz w:val="18"/>
              </w:rPr>
              <w:t xml:space="preserve"> a </w:t>
            </w:r>
            <w:r w:rsidR="00B70BE5">
              <w:rPr>
                <w:sz w:val="18"/>
              </w:rPr>
              <w:t>special</w:t>
            </w:r>
            <w:r w:rsidR="00390299" w:rsidRPr="00390299">
              <w:rPr>
                <w:sz w:val="18"/>
              </w:rPr>
              <w:t xml:space="preserve"> charge report will be </w:t>
            </w:r>
            <w:r w:rsidR="00B70BE5">
              <w:rPr>
                <w:sz w:val="18"/>
              </w:rPr>
              <w:t>considered by</w:t>
            </w:r>
            <w:r w:rsidR="00390299" w:rsidRPr="00390299">
              <w:rPr>
                <w:sz w:val="18"/>
              </w:rPr>
              <w:t xml:space="preserve"> Council. </w:t>
            </w:r>
          </w:p>
          <w:p w14:paraId="28DC7EA9" w14:textId="43B95410" w:rsidR="00390299" w:rsidRPr="00390299" w:rsidRDefault="00390299" w:rsidP="00390299">
            <w:pPr>
              <w:widowControl w:val="0"/>
              <w:tabs>
                <w:tab w:val="left" w:pos="546"/>
              </w:tabs>
              <w:autoSpaceDE w:val="0"/>
              <w:autoSpaceDN w:val="0"/>
              <w:spacing w:before="100" w:after="200"/>
              <w:ind w:left="142" w:right="125"/>
              <w:cnfStyle w:val="000000000000" w:firstRow="0" w:lastRow="0" w:firstColumn="0" w:lastColumn="0" w:oddVBand="0" w:evenVBand="0" w:oddHBand="0" w:evenHBand="0" w:firstRowFirstColumn="0" w:firstRowLastColumn="0" w:lastRowFirstColumn="0" w:lastRowLastColumn="0"/>
              <w:rPr>
                <w:sz w:val="18"/>
              </w:rPr>
            </w:pPr>
            <w:r w:rsidRPr="00390299">
              <w:rPr>
                <w:sz w:val="18"/>
              </w:rPr>
              <w:t xml:space="preserve">If Council supports the </w:t>
            </w:r>
            <w:r w:rsidR="00B70BE5">
              <w:rPr>
                <w:sz w:val="18"/>
              </w:rPr>
              <w:t>project</w:t>
            </w:r>
            <w:r w:rsidRPr="00390299">
              <w:rPr>
                <w:sz w:val="18"/>
              </w:rPr>
              <w:t>, property owners are then notified in writing and</w:t>
            </w:r>
            <w:r w:rsidR="00B70BE5">
              <w:rPr>
                <w:sz w:val="18"/>
              </w:rPr>
              <w:t xml:space="preserve"> have an opportunity </w:t>
            </w:r>
            <w:r w:rsidRPr="00390299">
              <w:rPr>
                <w:sz w:val="18"/>
              </w:rPr>
              <w:t xml:space="preserve">to make a submission ‘for’ or ‘against’ the proposal. </w:t>
            </w:r>
            <w:r w:rsidR="00AE404C">
              <w:rPr>
                <w:sz w:val="18"/>
              </w:rPr>
              <w:t xml:space="preserve"> </w:t>
            </w:r>
            <w:r w:rsidRPr="00390299">
              <w:rPr>
                <w:sz w:val="18"/>
              </w:rPr>
              <w:t xml:space="preserve">For larger projects, there may also be opportunities to attend community information or design feedback sessions before the final report is prepared. </w:t>
            </w:r>
          </w:p>
        </w:tc>
      </w:tr>
      <w:tr w:rsidR="00390299" w14:paraId="529C877F" w14:textId="77777777" w:rsidTr="0075216C">
        <w:trPr>
          <w:trHeight w:val="678"/>
        </w:trPr>
        <w:tc>
          <w:tcPr>
            <w:cnfStyle w:val="001000000000" w:firstRow="0" w:lastRow="0" w:firstColumn="1" w:lastColumn="0" w:oddVBand="0" w:evenVBand="0" w:oddHBand="0" w:evenHBand="0" w:firstRowFirstColumn="0" w:firstRowLastColumn="0" w:lastRowFirstColumn="0" w:lastRowLastColumn="0"/>
            <w:tcW w:w="3124" w:type="dxa"/>
            <w:tcBorders>
              <w:top w:val="single" w:sz="4" w:space="0" w:color="auto"/>
              <w:bottom w:val="single" w:sz="4" w:space="0" w:color="auto"/>
            </w:tcBorders>
            <w:vAlign w:val="top"/>
          </w:tcPr>
          <w:p w14:paraId="01A7A368" w14:textId="77777777" w:rsidR="00390299" w:rsidRPr="00902165" w:rsidRDefault="00390299" w:rsidP="00390299">
            <w:pPr>
              <w:pStyle w:val="BodyText"/>
              <w:ind w:left="142"/>
              <w:rPr>
                <w:noProof/>
              </w:rPr>
            </w:pPr>
            <w:r w:rsidRPr="00902165">
              <w:rPr>
                <w:noProof/>
              </w:rPr>
              <mc:AlternateContent>
                <mc:Choice Requires="wps">
                  <w:drawing>
                    <wp:anchor distT="0" distB="0" distL="114300" distR="114300" simplePos="0" relativeHeight="251666432" behindDoc="0" locked="0" layoutInCell="1" allowOverlap="1" wp14:anchorId="2E7F5AFC" wp14:editId="35901C3F">
                      <wp:simplePos x="0" y="0"/>
                      <wp:positionH relativeFrom="column">
                        <wp:posOffset>136842</wp:posOffset>
                      </wp:positionH>
                      <wp:positionV relativeFrom="paragraph">
                        <wp:posOffset>104140</wp:posOffset>
                      </wp:positionV>
                      <wp:extent cx="180975" cy="175895"/>
                      <wp:effectExtent l="0" t="0" r="9525" b="0"/>
                      <wp:wrapSquare wrapText="bothSides"/>
                      <wp:docPr id="14" name="Flowchart: Connector 14"/>
                      <wp:cNvGraphicFramePr/>
                      <a:graphic xmlns:a="http://schemas.openxmlformats.org/drawingml/2006/main">
                        <a:graphicData uri="http://schemas.microsoft.com/office/word/2010/wordprocessingShape">
                          <wps:wsp>
                            <wps:cNvSpPr/>
                            <wps:spPr>
                              <a:xfrm>
                                <a:off x="0" y="0"/>
                                <a:ext cx="180975" cy="175895"/>
                              </a:xfrm>
                              <a:prstGeom prst="flowChartConnector">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859FE" id="Flowchart: Connector 14" o:spid="_x0000_s1026" type="#_x0000_t120" style="position:absolute;margin-left:10.75pt;margin-top:8.2pt;width:14.25pt;height:13.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" fillcolor="#002060" stroked="f" strokeweight="2pt">
                      <w10:wrap type="square"/>
                    </v:shape>
                  </w:pict>
                </mc:Fallback>
              </mc:AlternateContent>
            </w:r>
            <w:r>
              <w:rPr>
                <w:noProof/>
                <w:sz w:val="18"/>
              </w:rPr>
              <w:t>final review</w:t>
            </w:r>
          </w:p>
        </w:tc>
        <w:tc>
          <w:tcPr>
            <w:tcW w:w="7366" w:type="dxa"/>
            <w:tcBorders>
              <w:top w:val="single" w:sz="4" w:space="0" w:color="auto"/>
              <w:bottom w:val="single" w:sz="4" w:space="0" w:color="auto"/>
            </w:tcBorders>
            <w:vAlign w:val="top"/>
          </w:tcPr>
          <w:p w14:paraId="173475EB" w14:textId="17BD3530" w:rsidR="00390299" w:rsidRPr="00390299" w:rsidRDefault="00390299" w:rsidP="00390299">
            <w:pPr>
              <w:widowControl w:val="0"/>
              <w:tabs>
                <w:tab w:val="left" w:pos="546"/>
              </w:tabs>
              <w:autoSpaceDE w:val="0"/>
              <w:autoSpaceDN w:val="0"/>
              <w:spacing w:before="100" w:after="200"/>
              <w:ind w:left="142" w:right="125"/>
              <w:cnfStyle w:val="000000000000" w:firstRow="0" w:lastRow="0" w:firstColumn="0" w:lastColumn="0" w:oddVBand="0" w:evenVBand="0" w:oddHBand="0" w:evenHBand="0" w:firstRowFirstColumn="0" w:firstRowLastColumn="0" w:lastRowFirstColumn="0" w:lastRowLastColumn="0"/>
              <w:rPr>
                <w:sz w:val="18"/>
              </w:rPr>
            </w:pPr>
            <w:r w:rsidRPr="00390299">
              <w:rPr>
                <w:sz w:val="18"/>
              </w:rPr>
              <w:t xml:space="preserve">Anyone who has made a submission will </w:t>
            </w:r>
            <w:r w:rsidR="000F4E1A">
              <w:rPr>
                <w:sz w:val="18"/>
              </w:rPr>
              <w:t xml:space="preserve">be </w:t>
            </w:r>
            <w:r>
              <w:rPr>
                <w:sz w:val="18"/>
              </w:rPr>
              <w:t>invited</w:t>
            </w:r>
            <w:r w:rsidRPr="00390299">
              <w:rPr>
                <w:sz w:val="18"/>
              </w:rPr>
              <w:t xml:space="preserve"> to address a Submissions Review Panel.</w:t>
            </w:r>
            <w:r w:rsidR="0016458A">
              <w:rPr>
                <w:sz w:val="18"/>
              </w:rPr>
              <w:t xml:space="preserve"> </w:t>
            </w:r>
            <w:r w:rsidRPr="00390299">
              <w:rPr>
                <w:sz w:val="18"/>
              </w:rPr>
              <w:t xml:space="preserve"> </w:t>
            </w:r>
          </w:p>
        </w:tc>
      </w:tr>
      <w:tr w:rsidR="00390299" w14:paraId="179167D0" w14:textId="77777777" w:rsidTr="0075216C">
        <w:trPr>
          <w:trHeight w:val="678"/>
        </w:trPr>
        <w:tc>
          <w:tcPr>
            <w:cnfStyle w:val="001000000000" w:firstRow="0" w:lastRow="0" w:firstColumn="1" w:lastColumn="0" w:oddVBand="0" w:evenVBand="0" w:oddHBand="0" w:evenHBand="0" w:firstRowFirstColumn="0" w:firstRowLastColumn="0" w:lastRowFirstColumn="0" w:lastRowLastColumn="0"/>
            <w:tcW w:w="3124" w:type="dxa"/>
            <w:tcBorders>
              <w:top w:val="single" w:sz="4" w:space="0" w:color="auto"/>
              <w:bottom w:val="single" w:sz="4" w:space="0" w:color="auto"/>
            </w:tcBorders>
            <w:vAlign w:val="top"/>
          </w:tcPr>
          <w:p w14:paraId="5A06F148" w14:textId="77777777" w:rsidR="00390299" w:rsidRPr="00902165" w:rsidRDefault="00390299" w:rsidP="00390299">
            <w:pPr>
              <w:pStyle w:val="BodyText"/>
              <w:ind w:left="142"/>
              <w:rPr>
                <w:noProof/>
              </w:rPr>
            </w:pPr>
            <w:r w:rsidRPr="000F4372">
              <w:rPr>
                <w:noProof/>
              </w:rPr>
              <mc:AlternateContent>
                <mc:Choice Requires="wps">
                  <w:drawing>
                    <wp:anchor distT="0" distB="0" distL="114300" distR="114300" simplePos="0" relativeHeight="251668480" behindDoc="0" locked="0" layoutInCell="1" allowOverlap="1" wp14:anchorId="28799179" wp14:editId="32365CB0">
                      <wp:simplePos x="0" y="0"/>
                      <wp:positionH relativeFrom="column">
                        <wp:posOffset>139329</wp:posOffset>
                      </wp:positionH>
                      <wp:positionV relativeFrom="paragraph">
                        <wp:posOffset>126348</wp:posOffset>
                      </wp:positionV>
                      <wp:extent cx="180975" cy="175895"/>
                      <wp:effectExtent l="0" t="0" r="9525" b="0"/>
                      <wp:wrapSquare wrapText="bothSides"/>
                      <wp:docPr id="4" name="Flowchart: Connector 4"/>
                      <wp:cNvGraphicFramePr/>
                      <a:graphic xmlns:a="http://schemas.openxmlformats.org/drawingml/2006/main">
                        <a:graphicData uri="http://schemas.microsoft.com/office/word/2010/wordprocessingShape">
                          <wps:wsp>
                            <wps:cNvSpPr/>
                            <wps:spPr>
                              <a:xfrm>
                                <a:off x="0" y="0"/>
                                <a:ext cx="180975" cy="175895"/>
                              </a:xfrm>
                              <a:prstGeom prst="flowChartConnector">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E54B0" id="Flowchart: Connector 4" o:spid="_x0000_s1026" type="#_x0000_t120" style="position:absolute;margin-left:10.95pt;margin-top:9.95pt;width:14.25pt;height:1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" fillcolor="#002060" stroked="f" strokeweight="2pt">
                      <w10:wrap type="square"/>
                    </v:shape>
                  </w:pict>
                </mc:Fallback>
              </mc:AlternateContent>
            </w:r>
            <w:r w:rsidRPr="000F4372">
              <w:rPr>
                <w:noProof/>
                <w:sz w:val="18"/>
              </w:rPr>
              <w:t>final decision</w:t>
            </w:r>
            <w:r>
              <w:rPr>
                <w:noProof/>
              </w:rPr>
              <w:t xml:space="preserve"> </w:t>
            </w:r>
          </w:p>
        </w:tc>
        <w:tc>
          <w:tcPr>
            <w:tcW w:w="7366" w:type="dxa"/>
            <w:tcBorders>
              <w:top w:val="single" w:sz="4" w:space="0" w:color="auto"/>
              <w:bottom w:val="single" w:sz="4" w:space="0" w:color="auto"/>
            </w:tcBorders>
            <w:vAlign w:val="top"/>
          </w:tcPr>
          <w:p w14:paraId="57634D18" w14:textId="1941EE40" w:rsidR="00390299" w:rsidRPr="00390299" w:rsidDel="007612A2" w:rsidRDefault="00B70BE5" w:rsidP="00390299">
            <w:pPr>
              <w:pStyle w:val="BodyText"/>
              <w:ind w:left="142"/>
              <w:cnfStyle w:val="000000000000" w:firstRow="0" w:lastRow="0" w:firstColumn="0" w:lastColumn="0" w:oddVBand="0" w:evenVBand="0" w:oddHBand="0" w:evenHBand="0" w:firstRowFirstColumn="0" w:firstRowLastColumn="0" w:lastRowFirstColumn="0" w:lastRowLastColumn="0"/>
              <w:rPr>
                <w:sz w:val="18"/>
              </w:rPr>
            </w:pPr>
            <w:r>
              <w:rPr>
                <w:sz w:val="18"/>
              </w:rPr>
              <w:t xml:space="preserve">Following the Panel hearing, </w:t>
            </w:r>
            <w:r w:rsidR="00390299" w:rsidRPr="00390299">
              <w:rPr>
                <w:sz w:val="18"/>
              </w:rPr>
              <w:t>Council may choose to modify the proposed scheme</w:t>
            </w:r>
            <w:r>
              <w:rPr>
                <w:sz w:val="18"/>
              </w:rPr>
              <w:t xml:space="preserve"> in line with submissions received</w:t>
            </w:r>
            <w:r w:rsidR="00390299" w:rsidRPr="00390299">
              <w:rPr>
                <w:sz w:val="18"/>
              </w:rPr>
              <w:t xml:space="preserve">, </w:t>
            </w:r>
            <w:proofErr w:type="gramStart"/>
            <w:r>
              <w:rPr>
                <w:sz w:val="18"/>
              </w:rPr>
              <w:t>proceed</w:t>
            </w:r>
            <w:proofErr w:type="gramEnd"/>
            <w:r>
              <w:rPr>
                <w:sz w:val="18"/>
              </w:rPr>
              <w:t xml:space="preserve"> or not proceed with</w:t>
            </w:r>
            <w:r w:rsidRPr="00390299">
              <w:rPr>
                <w:sz w:val="18"/>
              </w:rPr>
              <w:t xml:space="preserve"> </w:t>
            </w:r>
            <w:r w:rsidR="00390299" w:rsidRPr="00390299">
              <w:rPr>
                <w:sz w:val="18"/>
              </w:rPr>
              <w:t>the scheme.</w:t>
            </w:r>
            <w:r w:rsidR="007E0E7A">
              <w:rPr>
                <w:sz w:val="18"/>
              </w:rPr>
              <w:t xml:space="preserve"> </w:t>
            </w:r>
            <w:r w:rsidR="00390299" w:rsidRPr="00390299">
              <w:rPr>
                <w:sz w:val="18"/>
              </w:rPr>
              <w:t xml:space="preserve"> If the scheme goes ahead, property owners will be advised of the </w:t>
            </w:r>
            <w:r w:rsidR="00D75D48">
              <w:rPr>
                <w:sz w:val="18"/>
              </w:rPr>
              <w:t xml:space="preserve">estimated </w:t>
            </w:r>
            <w:r w:rsidR="00390299" w:rsidRPr="00390299">
              <w:rPr>
                <w:sz w:val="18"/>
              </w:rPr>
              <w:t xml:space="preserve">charges and their options if they wish to challenge the decision at the Victorian Civil and Administrative Tribunal (VCAT). </w:t>
            </w:r>
          </w:p>
        </w:tc>
      </w:tr>
    </w:tbl>
    <w:p w14:paraId="1C7B4F7C" w14:textId="77777777" w:rsidR="00390299" w:rsidRDefault="00390299" w:rsidP="00390299">
      <w:pPr>
        <w:pStyle w:val="Heading1"/>
        <w:ind w:left="142"/>
      </w:pPr>
      <w:r>
        <w:lastRenderedPageBreak/>
        <w:t>length of process</w:t>
      </w:r>
    </w:p>
    <w:p w14:paraId="41A4F873" w14:textId="6F844203" w:rsidR="00390299" w:rsidRDefault="00390299" w:rsidP="00390299">
      <w:pPr>
        <w:pStyle w:val="BodyText"/>
        <w:ind w:left="142"/>
      </w:pPr>
      <w:r>
        <w:t xml:space="preserve">The process may take 1–2 years, depending on the level of community engagement required. </w:t>
      </w:r>
      <w:r w:rsidR="0040772E">
        <w:t xml:space="preserve"> </w:t>
      </w:r>
      <w:r>
        <w:t>Once the process is complete</w:t>
      </w:r>
      <w:r w:rsidR="00B70BE5">
        <w:t>,</w:t>
      </w:r>
      <w:r>
        <w:t xml:space="preserve"> the works can be scheduled.  </w:t>
      </w:r>
    </w:p>
    <w:p w14:paraId="70DC3AA7" w14:textId="77777777" w:rsidR="00390299" w:rsidRDefault="00390299" w:rsidP="00390299">
      <w:pPr>
        <w:pStyle w:val="Heading1"/>
        <w:ind w:left="142"/>
      </w:pPr>
      <w:r>
        <w:t>Why property owners have to pay</w:t>
      </w:r>
    </w:p>
    <w:p w14:paraId="4BC30191" w14:textId="21DFF79A" w:rsidR="00390299" w:rsidRDefault="00390299" w:rsidP="00390299">
      <w:pPr>
        <w:pStyle w:val="BodyText"/>
        <w:ind w:left="142"/>
      </w:pPr>
      <w:r>
        <w:t xml:space="preserve">We often get asked why these projects aren’t covered by general rates and charges. The </w:t>
      </w:r>
      <w:r w:rsidRPr="001E5C80">
        <w:rPr>
          <w:i/>
          <w:iCs/>
        </w:rPr>
        <w:t>Local Government Act 1989</w:t>
      </w:r>
      <w:r>
        <w:t xml:space="preserve"> states that works and services that are of special benefit to a group of property owners can be levied a special rate or charge. The concept of ‘special benefit’ is the key difference between projects funded through these kinds of arrangements and other works projects. </w:t>
      </w:r>
    </w:p>
    <w:p w14:paraId="5D6EE310" w14:textId="49A015C3" w:rsidR="00C203C6" w:rsidRDefault="0087779B" w:rsidP="00AC1D9F">
      <w:pPr>
        <w:pStyle w:val="Heading1"/>
        <w:spacing w:before="100" w:after="200" w:line="270" w:lineRule="atLeast"/>
        <w:ind w:left="142"/>
        <w:rPr>
          <w:rFonts w:asciiTheme="minorHAnsi" w:hAnsiTheme="minorHAnsi" w:cstheme="minorHAnsi"/>
          <w:b w:val="0"/>
          <w:bCs/>
          <w:caps w:val="0"/>
          <w:color w:val="auto"/>
          <w:sz w:val="18"/>
        </w:rPr>
      </w:pPr>
      <w:r w:rsidRPr="00E26AB2">
        <w:rPr>
          <w:rFonts w:asciiTheme="minorHAnsi" w:hAnsiTheme="minorHAnsi" w:cstheme="minorHAnsi"/>
          <w:b w:val="0"/>
          <w:bCs/>
          <w:caps w:val="0"/>
          <w:color w:val="auto"/>
          <w:sz w:val="18"/>
        </w:rPr>
        <w:t xml:space="preserve">For new land developments, the cost of constructing sealed roads, kerb and channel, footpaths, drainage, street lighting and other capital infrastructure is apportioned across the lots by the developer.  In this way the purchasers of the lots and subsequent owners have paid for the infrastructure benefits derived by their property. </w:t>
      </w:r>
      <w:r w:rsidR="00D75355">
        <w:rPr>
          <w:rFonts w:asciiTheme="minorHAnsi" w:hAnsiTheme="minorHAnsi" w:cstheme="minorHAnsi"/>
          <w:b w:val="0"/>
          <w:bCs/>
          <w:caps w:val="0"/>
          <w:color w:val="auto"/>
          <w:sz w:val="18"/>
        </w:rPr>
        <w:t xml:space="preserve"> </w:t>
      </w:r>
      <w:r w:rsidRPr="00E26AB2">
        <w:rPr>
          <w:rFonts w:asciiTheme="minorHAnsi" w:hAnsiTheme="minorHAnsi" w:cstheme="minorHAnsi"/>
          <w:b w:val="0"/>
          <w:bCs/>
          <w:caps w:val="0"/>
          <w:color w:val="auto"/>
          <w:sz w:val="18"/>
        </w:rPr>
        <w:t>If a property is sold without specific infrastructure or services present, it’s equitable the property owner contributes to the cost of providing a special benefit for their property.</w:t>
      </w:r>
      <w:r w:rsidR="00AC1D9F">
        <w:rPr>
          <w:rFonts w:asciiTheme="minorHAnsi" w:hAnsiTheme="minorHAnsi" w:cstheme="minorHAnsi"/>
          <w:b w:val="0"/>
          <w:bCs/>
          <w:caps w:val="0"/>
          <w:color w:val="auto"/>
          <w:sz w:val="18"/>
        </w:rPr>
        <w:t xml:space="preserve"> </w:t>
      </w:r>
    </w:p>
    <w:p w14:paraId="4D3612F8" w14:textId="07AADF1C" w:rsidR="00390299" w:rsidRDefault="00390299" w:rsidP="00AC1D9F">
      <w:pPr>
        <w:pStyle w:val="Heading1"/>
        <w:spacing w:before="100" w:after="200" w:line="270" w:lineRule="atLeast"/>
        <w:ind w:left="142"/>
        <w:rPr>
          <w:rFonts w:asciiTheme="minorHAnsi" w:hAnsiTheme="minorHAnsi" w:cstheme="minorHAnsi"/>
          <w:b w:val="0"/>
          <w:bCs/>
          <w:caps w:val="0"/>
          <w:color w:val="auto"/>
          <w:sz w:val="18"/>
        </w:rPr>
      </w:pPr>
      <w:r w:rsidRPr="00AC1D9F">
        <w:rPr>
          <w:rFonts w:asciiTheme="minorHAnsi" w:hAnsiTheme="minorHAnsi" w:cstheme="minorHAnsi"/>
          <w:b w:val="0"/>
          <w:bCs/>
          <w:caps w:val="0"/>
          <w:color w:val="auto"/>
          <w:sz w:val="18"/>
        </w:rPr>
        <w:t xml:space="preserve">We only have a set amount of money available to pay for, and upgrade, infrastructure every year. Without the ability to raise a special rate or charge, we would not be able to fund many new projects. </w:t>
      </w:r>
      <w:r w:rsidR="00437122">
        <w:rPr>
          <w:rFonts w:asciiTheme="minorHAnsi" w:hAnsiTheme="minorHAnsi" w:cstheme="minorHAnsi"/>
          <w:b w:val="0"/>
          <w:bCs/>
          <w:caps w:val="0"/>
          <w:color w:val="auto"/>
          <w:sz w:val="18"/>
        </w:rPr>
        <w:t xml:space="preserve"> </w:t>
      </w:r>
      <w:r w:rsidRPr="00AC1D9F">
        <w:rPr>
          <w:rFonts w:asciiTheme="minorHAnsi" w:hAnsiTheme="minorHAnsi" w:cstheme="minorHAnsi"/>
          <w:b w:val="0"/>
          <w:bCs/>
          <w:caps w:val="0"/>
          <w:color w:val="auto"/>
          <w:sz w:val="18"/>
        </w:rPr>
        <w:t xml:space="preserve">Additionally, it would be unfair to expect all property owners to pay for projects where the community benefit is limited to a specific geographic area. </w:t>
      </w:r>
    </w:p>
    <w:p w14:paraId="3B2E9E17" w14:textId="78608B59" w:rsidR="00364827" w:rsidRPr="00364827" w:rsidRDefault="00364827" w:rsidP="00364827">
      <w:pPr>
        <w:pStyle w:val="Heading1"/>
        <w:ind w:left="142"/>
      </w:pPr>
      <w:r>
        <w:t>How is the special rate or charge DECIDED?</w:t>
      </w:r>
    </w:p>
    <w:p w14:paraId="2E8280E6" w14:textId="3F72D7D6" w:rsidR="00390299" w:rsidRDefault="00390299" w:rsidP="00390299">
      <w:pPr>
        <w:pStyle w:val="BodyText"/>
        <w:ind w:left="142"/>
        <w:rPr>
          <w:rFonts w:cstheme="minorHAnsi"/>
          <w:color w:val="000000"/>
          <w:shd w:val="clear" w:color="auto" w:fill="FFFFFF"/>
        </w:rPr>
      </w:pPr>
      <w:r>
        <w:rPr>
          <w:rFonts w:cstheme="minorHAnsi"/>
          <w:color w:val="000000"/>
          <w:shd w:val="clear" w:color="auto" w:fill="FFFFFF"/>
        </w:rPr>
        <w:t>Costs to property owners are</w:t>
      </w:r>
      <w:r w:rsidRPr="00F112A6">
        <w:rPr>
          <w:rFonts w:cstheme="minorHAnsi"/>
          <w:color w:val="000000"/>
          <w:shd w:val="clear" w:color="auto" w:fill="FFFFFF"/>
        </w:rPr>
        <w:t xml:space="preserve"> carefully worked out following </w:t>
      </w:r>
      <w:r w:rsidR="00E6165C">
        <w:rPr>
          <w:rFonts w:cstheme="minorHAnsi"/>
          <w:color w:val="000000"/>
          <w:shd w:val="clear" w:color="auto" w:fill="FFFFFF"/>
        </w:rPr>
        <w:t xml:space="preserve">Council Policy </w:t>
      </w:r>
      <w:proofErr w:type="gramStart"/>
      <w:r w:rsidR="00E6165C">
        <w:rPr>
          <w:rFonts w:cstheme="minorHAnsi"/>
          <w:color w:val="000000"/>
          <w:shd w:val="clear" w:color="auto" w:fill="FFFFFF"/>
        </w:rPr>
        <w:t xml:space="preserve">and </w:t>
      </w:r>
      <w:r>
        <w:rPr>
          <w:rFonts w:cstheme="minorHAnsi"/>
          <w:color w:val="000000"/>
          <w:shd w:val="clear" w:color="auto" w:fill="FFFFFF"/>
        </w:rPr>
        <w:t xml:space="preserve"> legislation</w:t>
      </w:r>
      <w:proofErr w:type="gramEnd"/>
      <w:r>
        <w:rPr>
          <w:rFonts w:cstheme="minorHAnsi"/>
          <w:color w:val="000000"/>
          <w:shd w:val="clear" w:color="auto" w:fill="FFFFFF"/>
        </w:rPr>
        <w:t xml:space="preserve">. The calculation </w:t>
      </w:r>
      <w:proofErr w:type="gramStart"/>
      <w:r>
        <w:rPr>
          <w:rFonts w:cstheme="minorHAnsi"/>
          <w:color w:val="000000"/>
          <w:shd w:val="clear" w:color="auto" w:fill="FFFFFF"/>
        </w:rPr>
        <w:t>takes into account</w:t>
      </w:r>
      <w:proofErr w:type="gramEnd"/>
      <w:r>
        <w:rPr>
          <w:rFonts w:cstheme="minorHAnsi"/>
          <w:color w:val="000000"/>
          <w:shd w:val="clear" w:color="auto" w:fill="FFFFFF"/>
        </w:rPr>
        <w:t xml:space="preserve"> the expected benefit of the works project to the broader community, as well as the anticipated </w:t>
      </w:r>
      <w:r w:rsidR="00E6165C">
        <w:rPr>
          <w:rFonts w:cstheme="minorHAnsi"/>
          <w:color w:val="000000"/>
          <w:shd w:val="clear" w:color="auto" w:fill="FFFFFF"/>
        </w:rPr>
        <w:t xml:space="preserve">special </w:t>
      </w:r>
      <w:r>
        <w:rPr>
          <w:rFonts w:cstheme="minorHAnsi"/>
          <w:color w:val="000000"/>
          <w:shd w:val="clear" w:color="auto" w:fill="FFFFFF"/>
        </w:rPr>
        <w:t xml:space="preserve">benefit to each property owner. </w:t>
      </w:r>
      <w:r w:rsidR="00E6165C">
        <w:rPr>
          <w:rFonts w:cstheme="minorHAnsi"/>
          <w:color w:val="000000"/>
          <w:shd w:val="clear" w:color="auto" w:fill="FFFFFF"/>
        </w:rPr>
        <w:t xml:space="preserve">The City funds </w:t>
      </w:r>
      <w:r>
        <w:rPr>
          <w:rFonts w:cstheme="minorHAnsi"/>
          <w:color w:val="000000"/>
          <w:shd w:val="clear" w:color="auto" w:fill="FFFFFF"/>
        </w:rPr>
        <w:t xml:space="preserve">the proportion of the project that is expected to benefit the broader community, </w:t>
      </w:r>
      <w:r w:rsidR="00E6165C">
        <w:rPr>
          <w:rFonts w:cstheme="minorHAnsi"/>
          <w:color w:val="000000"/>
          <w:shd w:val="clear" w:color="auto" w:fill="FFFFFF"/>
        </w:rPr>
        <w:t xml:space="preserve">with </w:t>
      </w:r>
      <w:r>
        <w:rPr>
          <w:rFonts w:cstheme="minorHAnsi"/>
          <w:color w:val="000000"/>
          <w:shd w:val="clear" w:color="auto" w:fill="FFFFFF"/>
        </w:rPr>
        <w:t xml:space="preserve">property owners </w:t>
      </w:r>
      <w:r w:rsidR="00E6165C">
        <w:rPr>
          <w:rFonts w:cstheme="minorHAnsi"/>
          <w:color w:val="000000"/>
          <w:shd w:val="clear" w:color="auto" w:fill="FFFFFF"/>
        </w:rPr>
        <w:t>paying the special benefit.</w:t>
      </w:r>
    </w:p>
    <w:p w14:paraId="5F97B1FF" w14:textId="77777777" w:rsidR="00390299" w:rsidRDefault="00390299" w:rsidP="00390299">
      <w:pPr>
        <w:pStyle w:val="Heading1"/>
        <w:ind w:left="142"/>
        <w:rPr>
          <w:shd w:val="clear" w:color="auto" w:fill="FFFFFF"/>
        </w:rPr>
      </w:pPr>
      <w:r>
        <w:rPr>
          <w:shd w:val="clear" w:color="auto" w:fill="FFFFFF"/>
        </w:rPr>
        <w:t>Financial hardship</w:t>
      </w:r>
    </w:p>
    <w:p w14:paraId="5994778D" w14:textId="31FD5B80" w:rsidR="00390299" w:rsidRDefault="00390299" w:rsidP="00390299">
      <w:pPr>
        <w:pStyle w:val="BodyText"/>
        <w:ind w:left="142"/>
        <w:rPr>
          <w:rFonts w:cstheme="minorHAnsi"/>
          <w:color w:val="000000"/>
          <w:shd w:val="clear" w:color="auto" w:fill="FFFFFF"/>
        </w:rPr>
      </w:pPr>
      <w:r>
        <w:rPr>
          <w:rFonts w:cstheme="minorHAnsi"/>
          <w:color w:val="000000"/>
          <w:shd w:val="clear" w:color="auto" w:fill="FFFFFF"/>
        </w:rPr>
        <w:t xml:space="preserve">We understand that not all property owners will be able to pay their contribution </w:t>
      </w:r>
      <w:r w:rsidR="00E6165C">
        <w:rPr>
          <w:rFonts w:cstheme="minorHAnsi"/>
          <w:color w:val="000000"/>
          <w:shd w:val="clear" w:color="auto" w:fill="FFFFFF"/>
        </w:rPr>
        <w:t>up front</w:t>
      </w:r>
      <w:r>
        <w:rPr>
          <w:rFonts w:cstheme="minorHAnsi"/>
          <w:color w:val="000000"/>
          <w:shd w:val="clear" w:color="auto" w:fill="FFFFFF"/>
        </w:rPr>
        <w:t xml:space="preserve">. </w:t>
      </w:r>
      <w:r w:rsidR="003771A1">
        <w:rPr>
          <w:rFonts w:cstheme="minorHAnsi"/>
          <w:color w:val="000000"/>
          <w:shd w:val="clear" w:color="auto" w:fill="FFFFFF"/>
        </w:rPr>
        <w:t xml:space="preserve"> </w:t>
      </w:r>
      <w:r>
        <w:rPr>
          <w:rFonts w:cstheme="minorHAnsi"/>
          <w:color w:val="000000"/>
          <w:shd w:val="clear" w:color="auto" w:fill="FFFFFF"/>
        </w:rPr>
        <w:t xml:space="preserve">As such, we can arrange a payment schedule designed to suit individual circumstances. </w:t>
      </w:r>
      <w:r w:rsidR="003771A1">
        <w:rPr>
          <w:rFonts w:cstheme="minorHAnsi"/>
          <w:color w:val="000000"/>
          <w:shd w:val="clear" w:color="auto" w:fill="FFFFFF"/>
        </w:rPr>
        <w:t xml:space="preserve"> </w:t>
      </w:r>
      <w:r>
        <w:rPr>
          <w:rFonts w:cstheme="minorHAnsi"/>
          <w:color w:val="000000"/>
          <w:shd w:val="clear" w:color="auto" w:fill="FFFFFF"/>
        </w:rPr>
        <w:t xml:space="preserve">Contact us for more information about payment plans. </w:t>
      </w:r>
    </w:p>
    <w:p w14:paraId="2FBB35FD" w14:textId="77777777" w:rsidR="00390299" w:rsidRDefault="00390299" w:rsidP="00390299">
      <w:pPr>
        <w:pStyle w:val="Heading1"/>
        <w:ind w:left="142"/>
        <w:rPr>
          <w:shd w:val="clear" w:color="auto" w:fill="FFFFFF"/>
        </w:rPr>
      </w:pPr>
      <w:r>
        <w:rPr>
          <w:shd w:val="clear" w:color="auto" w:fill="FFFFFF"/>
        </w:rPr>
        <w:t>How community feedback influences the outcomes</w:t>
      </w:r>
    </w:p>
    <w:p w14:paraId="3C12F59D" w14:textId="5FABFE63" w:rsidR="00390299" w:rsidRDefault="00390299" w:rsidP="00390299">
      <w:pPr>
        <w:pStyle w:val="BodyText"/>
        <w:ind w:left="142"/>
      </w:pPr>
      <w:r>
        <w:t>As part of the community engagement process, we ask for</w:t>
      </w:r>
      <w:r w:rsidR="00A32B59">
        <w:t xml:space="preserve"> feedback and</w:t>
      </w:r>
      <w:r>
        <w:t xml:space="preserve"> submissions about the proposed work. </w:t>
      </w:r>
      <w:r w:rsidR="003771A1">
        <w:t xml:space="preserve"> </w:t>
      </w:r>
      <w:r>
        <w:t xml:space="preserve">The views shared as part of this process are </w:t>
      </w:r>
      <w:proofErr w:type="gramStart"/>
      <w:r>
        <w:t>taken into account</w:t>
      </w:r>
      <w:proofErr w:type="gramEnd"/>
      <w:r>
        <w:t xml:space="preserve"> by the Submissions Review Panel</w:t>
      </w:r>
      <w:r w:rsidR="00D75D48">
        <w:t>.</w:t>
      </w:r>
      <w:r w:rsidR="003A2777">
        <w:t xml:space="preserve"> </w:t>
      </w:r>
      <w:r>
        <w:t xml:space="preserve"> </w:t>
      </w:r>
    </w:p>
    <w:p w14:paraId="3E65658C" w14:textId="3A55DE77" w:rsidR="00390299" w:rsidRPr="00893956" w:rsidRDefault="00390299" w:rsidP="00390299">
      <w:pPr>
        <w:pStyle w:val="BodyText"/>
        <w:ind w:left="142"/>
      </w:pPr>
      <w:r>
        <w:t xml:space="preserve">To help us make the best possible decisions, we want to hear from you – regardless of whether you are ‘for’ or ‘against’ the scheme. </w:t>
      </w:r>
    </w:p>
    <w:p w14:paraId="52F579B6" w14:textId="77777777" w:rsidR="00390299" w:rsidRDefault="00390299" w:rsidP="00390299">
      <w:pPr>
        <w:pStyle w:val="Heading1"/>
        <w:ind w:left="142"/>
        <w:rPr>
          <w:shd w:val="clear" w:color="auto" w:fill="FFFFFF"/>
        </w:rPr>
      </w:pPr>
      <w:r>
        <w:rPr>
          <w:shd w:val="clear" w:color="auto" w:fill="FFFFFF"/>
        </w:rPr>
        <w:t xml:space="preserve">Appealing a special rate or charge </w:t>
      </w:r>
    </w:p>
    <w:p w14:paraId="2E4B0A65" w14:textId="2B045367" w:rsidR="00390299" w:rsidRDefault="00390299" w:rsidP="00390299">
      <w:pPr>
        <w:pStyle w:val="BodyText"/>
        <w:ind w:left="142"/>
        <w:rPr>
          <w:rFonts w:cstheme="minorHAnsi"/>
          <w:color w:val="000000"/>
          <w:shd w:val="clear" w:color="auto" w:fill="FFFFFF"/>
        </w:rPr>
      </w:pPr>
      <w:r>
        <w:rPr>
          <w:rFonts w:cstheme="minorHAnsi"/>
          <w:color w:val="000000"/>
          <w:shd w:val="clear" w:color="auto" w:fill="FFFFFF"/>
        </w:rPr>
        <w:t xml:space="preserve">Not everyone will agree with </w:t>
      </w:r>
      <w:r w:rsidR="00A32B59">
        <w:rPr>
          <w:rFonts w:cstheme="minorHAnsi"/>
          <w:color w:val="000000"/>
          <w:shd w:val="clear" w:color="auto" w:fill="FFFFFF"/>
        </w:rPr>
        <w:t>a</w:t>
      </w:r>
      <w:r>
        <w:rPr>
          <w:rFonts w:cstheme="minorHAnsi"/>
          <w:color w:val="000000"/>
          <w:shd w:val="clear" w:color="auto" w:fill="FFFFFF"/>
        </w:rPr>
        <w:t xml:space="preserve"> decision to raise a special rate or charge to their property. </w:t>
      </w:r>
      <w:r w:rsidR="00CB1B40">
        <w:rPr>
          <w:rFonts w:cstheme="minorHAnsi"/>
          <w:color w:val="000000"/>
          <w:shd w:val="clear" w:color="auto" w:fill="FFFFFF"/>
        </w:rPr>
        <w:t xml:space="preserve"> </w:t>
      </w:r>
      <w:r>
        <w:rPr>
          <w:rFonts w:cstheme="minorHAnsi"/>
          <w:color w:val="000000"/>
          <w:shd w:val="clear" w:color="auto" w:fill="FFFFFF"/>
        </w:rPr>
        <w:t>If Council decides to proceed with the scheme, despite objection</w:t>
      </w:r>
      <w:r w:rsidR="00A32B59">
        <w:rPr>
          <w:rFonts w:cstheme="minorHAnsi"/>
          <w:color w:val="000000"/>
          <w:shd w:val="clear" w:color="auto" w:fill="FFFFFF"/>
        </w:rPr>
        <w:t>s</w:t>
      </w:r>
      <w:r>
        <w:rPr>
          <w:rFonts w:cstheme="minorHAnsi"/>
          <w:color w:val="000000"/>
          <w:shd w:val="clear" w:color="auto" w:fill="FFFFFF"/>
        </w:rPr>
        <w:t xml:space="preserve">, </w:t>
      </w:r>
      <w:r w:rsidR="00A32B59">
        <w:rPr>
          <w:rFonts w:cstheme="minorHAnsi"/>
          <w:color w:val="000000"/>
          <w:shd w:val="clear" w:color="auto" w:fill="FFFFFF"/>
        </w:rPr>
        <w:t xml:space="preserve">property owners </w:t>
      </w:r>
      <w:r>
        <w:rPr>
          <w:rFonts w:cstheme="minorHAnsi"/>
          <w:color w:val="000000"/>
          <w:shd w:val="clear" w:color="auto" w:fill="FFFFFF"/>
        </w:rPr>
        <w:t xml:space="preserve">have the option of submitting an appeal to VCAT at </w:t>
      </w:r>
      <w:r w:rsidR="00A32B59">
        <w:rPr>
          <w:rFonts w:cstheme="minorHAnsi"/>
          <w:color w:val="000000"/>
          <w:shd w:val="clear" w:color="auto" w:fill="FFFFFF"/>
        </w:rPr>
        <w:t>their</w:t>
      </w:r>
      <w:r>
        <w:rPr>
          <w:rFonts w:cstheme="minorHAnsi"/>
          <w:color w:val="000000"/>
          <w:shd w:val="clear" w:color="auto" w:fill="FFFFFF"/>
        </w:rPr>
        <w:t xml:space="preserve"> cost. </w:t>
      </w:r>
      <w:r w:rsidR="007A6E03">
        <w:rPr>
          <w:rFonts w:cstheme="minorHAnsi"/>
          <w:color w:val="000000"/>
          <w:shd w:val="clear" w:color="auto" w:fill="FFFFFF"/>
        </w:rPr>
        <w:t xml:space="preserve"> </w:t>
      </w:r>
      <w:r>
        <w:rPr>
          <w:rFonts w:cstheme="minorHAnsi"/>
          <w:color w:val="000000"/>
          <w:shd w:val="clear" w:color="auto" w:fill="FFFFFF"/>
        </w:rPr>
        <w:t xml:space="preserve">The tribunal may choose to uphold or amend the scheme. </w:t>
      </w:r>
    </w:p>
    <w:p w14:paraId="0FDA7EEA" w14:textId="77777777" w:rsidR="00390299" w:rsidRDefault="00390299" w:rsidP="00390299">
      <w:pPr>
        <w:pStyle w:val="Heading1"/>
        <w:ind w:left="142"/>
        <w:rPr>
          <w:shd w:val="clear" w:color="auto" w:fill="FFFFFF"/>
        </w:rPr>
      </w:pPr>
      <w:r>
        <w:rPr>
          <w:shd w:val="clear" w:color="auto" w:fill="FFFFFF"/>
        </w:rPr>
        <w:t>More information</w:t>
      </w:r>
    </w:p>
    <w:p w14:paraId="4C438FA7" w14:textId="539FF905" w:rsidR="00390299" w:rsidRPr="004513C1" w:rsidRDefault="00390299" w:rsidP="00390299">
      <w:pPr>
        <w:pStyle w:val="ListBullet"/>
        <w:rPr>
          <w:color w:val="003263" w:themeColor="text2"/>
        </w:rPr>
      </w:pPr>
      <w:r w:rsidRPr="004513C1">
        <w:t>For more information about the proposed special rate and charge scheme</w:t>
      </w:r>
      <w:r w:rsidR="00A32B59" w:rsidRPr="004513C1">
        <w:t xml:space="preserve"> benefitting</w:t>
      </w:r>
      <w:r w:rsidRPr="004513C1">
        <w:t xml:space="preserve"> your property, please visit </w:t>
      </w:r>
      <w:hyperlink r:id="rId14" w:history="1">
        <w:r w:rsidR="004513C1" w:rsidRPr="004513C1">
          <w:rPr>
            <w:rStyle w:val="Hyperlink"/>
          </w:rPr>
          <w:t>https://yoursay.geelongaustralia.com.au/SRC</w:t>
        </w:r>
      </w:hyperlink>
    </w:p>
    <w:p w14:paraId="56EADFCB" w14:textId="77777777" w:rsidR="00390299" w:rsidRPr="00390299" w:rsidRDefault="00390299" w:rsidP="00390299">
      <w:pPr>
        <w:pStyle w:val="ListBullet"/>
      </w:pPr>
      <w:r w:rsidRPr="00390299">
        <w:t xml:space="preserve">If you have further questions, email </w:t>
      </w:r>
      <w:hyperlink r:id="rId15" w:history="1">
        <w:r w:rsidRPr="00D75D48">
          <w:rPr>
            <w:rStyle w:val="Hyperlink"/>
            <w:b/>
            <w:bCs/>
            <w:color w:val="002060"/>
          </w:rPr>
          <w:t>engineeringplans@geelongcity.vic.gov.au</w:t>
        </w:r>
      </w:hyperlink>
      <w:r w:rsidRPr="00390299">
        <w:t xml:space="preserve"> or contact us on </w:t>
      </w:r>
      <w:r w:rsidRPr="00D75D48">
        <w:rPr>
          <w:b/>
          <w:bCs/>
          <w:color w:val="002060"/>
        </w:rPr>
        <w:t>03 5272 5272</w:t>
      </w:r>
      <w:r w:rsidRPr="00390299">
        <w:t>.</w:t>
      </w:r>
    </w:p>
    <w:p w14:paraId="0B985EB1" w14:textId="77777777" w:rsidR="00390299" w:rsidRPr="00390299" w:rsidRDefault="00390299" w:rsidP="00390299">
      <w:pPr>
        <w:pStyle w:val="ListBullet"/>
      </w:pPr>
      <w:r w:rsidRPr="00390299">
        <w:t xml:space="preserve">If you need an interpreter, contact TIS National on 131 450 and ask them to call us during normal business hours.  </w:t>
      </w:r>
    </w:p>
    <w:p w14:paraId="6F756E03" w14:textId="77777777" w:rsidR="00390299" w:rsidRPr="00390299" w:rsidRDefault="00390299" w:rsidP="00390299">
      <w:pPr>
        <w:pStyle w:val="ListBullet"/>
      </w:pPr>
      <w:r w:rsidRPr="00390299">
        <w:t xml:space="preserve">If you are deaf, or have a hearing or speech impairment, contact the appropriate National Relay Service </w:t>
      </w:r>
      <w:proofErr w:type="gramStart"/>
      <w:r w:rsidRPr="00390299">
        <w:t>number</w:t>
      </w:r>
      <w:proofErr w:type="gramEnd"/>
      <w:r w:rsidRPr="00390299">
        <w:t xml:space="preserve"> and ask them to call us during normal business hours. </w:t>
      </w:r>
    </w:p>
    <w:p w14:paraId="367E00C0" w14:textId="52779184" w:rsidR="00603066" w:rsidRPr="008143BB" w:rsidRDefault="00390299" w:rsidP="008143BB">
      <w:pPr>
        <w:tabs>
          <w:tab w:val="left" w:pos="7785"/>
        </w:tabs>
      </w:pPr>
      <w:r>
        <w:rPr>
          <w:rFonts w:cstheme="minorHAnsi"/>
          <w:color w:val="000000"/>
          <w:shd w:val="clear" w:color="auto" w:fill="FFFFFF"/>
        </w:rPr>
        <w:tab/>
      </w:r>
    </w:p>
    <w:sectPr w:rsidR="00603066" w:rsidRPr="008143BB" w:rsidSect="00861F48">
      <w:headerReference w:type="even" r:id="rId16"/>
      <w:headerReference w:type="default" r:id="rId17"/>
      <w:footerReference w:type="even" r:id="rId18"/>
      <w:footerReference w:type="default" r:id="rId19"/>
      <w:headerReference w:type="first" r:id="rId20"/>
      <w:footerReference w:type="first" r:id="rId21"/>
      <w:type w:val="continuous"/>
      <w:pgSz w:w="11907" w:h="16840" w:code="9"/>
      <w:pgMar w:top="822" w:right="567" w:bottom="1418"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657C5" w14:textId="77777777" w:rsidR="00CD7240" w:rsidRDefault="00CD7240" w:rsidP="00CE604F">
      <w:r>
        <w:separator/>
      </w:r>
    </w:p>
    <w:p w14:paraId="6C01EE7D" w14:textId="77777777" w:rsidR="00CD7240" w:rsidRDefault="00CD7240" w:rsidP="00CE604F"/>
    <w:p w14:paraId="21272E05" w14:textId="77777777" w:rsidR="00CD7240" w:rsidRDefault="00CD7240" w:rsidP="00CE604F"/>
    <w:p w14:paraId="771D2BFD" w14:textId="77777777" w:rsidR="00CD7240" w:rsidRDefault="00CD7240" w:rsidP="00CE604F"/>
  </w:endnote>
  <w:endnote w:type="continuationSeparator" w:id="0">
    <w:p w14:paraId="2B123BFA" w14:textId="77777777" w:rsidR="00CD7240" w:rsidRDefault="00CD7240" w:rsidP="00CE604F">
      <w:r>
        <w:continuationSeparator/>
      </w:r>
    </w:p>
    <w:p w14:paraId="7593A91A" w14:textId="77777777" w:rsidR="00CD7240" w:rsidRDefault="00CD7240" w:rsidP="00CE604F"/>
    <w:p w14:paraId="3CCB4EFE" w14:textId="77777777" w:rsidR="00CD7240" w:rsidRDefault="00CD7240" w:rsidP="00CE604F"/>
    <w:p w14:paraId="5EA24C8D" w14:textId="77777777" w:rsidR="00CD7240" w:rsidRDefault="00CD7240"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F405D8B-7354-4F83-9715-5F2A4B2CAFA5}"/>
    <w:embedBold r:id="rId2" w:fontKey="{7A7F7DC9-7519-40EA-A1C8-B37D2593FD4E}"/>
    <w:embedItalic r:id="rId3" w:fontKey="{3F2834B0-4980-4AB6-9DEB-2B0214D33865}"/>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4D67A" w14:textId="77777777" w:rsidR="00005086" w:rsidRDefault="000050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18222" w14:textId="4158ACF7" w:rsidR="004D2DEE" w:rsidRDefault="008143BB" w:rsidP="0075216C">
    <w:pPr>
      <w:pStyle w:val="Footer"/>
    </w:pPr>
    <w:r>
      <w:rPr>
        <w:noProof/>
      </w:rPr>
      <w:drawing>
        <wp:anchor distT="0" distB="0" distL="114300" distR="114300" simplePos="0" relativeHeight="251658240" behindDoc="1" locked="0" layoutInCell="1" allowOverlap="1" wp14:anchorId="4BA8F44E" wp14:editId="2BB13BD0">
          <wp:simplePos x="361950" y="9610725"/>
          <wp:positionH relativeFrom="page">
            <wp:align>left</wp:align>
          </wp:positionH>
          <wp:positionV relativeFrom="page">
            <wp:align>bottom</wp:align>
          </wp:positionV>
          <wp:extent cx="7553960" cy="666750"/>
          <wp:effectExtent l="0" t="0" r="0" b="0"/>
          <wp:wrapNone/>
          <wp:docPr id="6" name="www.geelongaustralia.co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png"/>
                  <pic:cNvPicPr/>
                </pic:nvPicPr>
                <pic:blipFill rotWithShape="1">
                  <a:blip r:embed="rId1">
                    <a:extLst>
                      <a:ext uri="{28A0092B-C50C-407E-A947-70E740481C1C}">
                        <a14:useLocalDpi xmlns:a14="http://schemas.microsoft.com/office/drawing/2010/main" val="0"/>
                      </a:ext>
                    </a:extLst>
                  </a:blip>
                  <a:srcRect b="16134"/>
                  <a:stretch/>
                </pic:blipFill>
                <pic:spPr bwMode="auto">
                  <a:xfrm>
                    <a:off x="0" y="0"/>
                    <a:ext cx="7560000" cy="667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216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D706B" w14:textId="77777777" w:rsidR="00005086" w:rsidRDefault="000050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121DA" w14:textId="77777777" w:rsidR="00CD7240" w:rsidRDefault="00CD7240" w:rsidP="00CE604F">
      <w:r>
        <w:separator/>
      </w:r>
    </w:p>
    <w:p w14:paraId="46CC8F5F" w14:textId="77777777" w:rsidR="00CD7240" w:rsidRDefault="00CD7240" w:rsidP="00CE604F"/>
    <w:p w14:paraId="30A50DEC" w14:textId="77777777" w:rsidR="00CD7240" w:rsidRDefault="00CD7240" w:rsidP="00CE604F"/>
    <w:p w14:paraId="4713EB7A" w14:textId="77777777" w:rsidR="00CD7240" w:rsidRDefault="00CD7240" w:rsidP="00CE604F"/>
  </w:footnote>
  <w:footnote w:type="continuationSeparator" w:id="0">
    <w:p w14:paraId="6F11D6B9" w14:textId="77777777" w:rsidR="00CD7240" w:rsidRDefault="00CD7240" w:rsidP="00CE604F">
      <w:r>
        <w:continuationSeparator/>
      </w:r>
    </w:p>
    <w:p w14:paraId="1A6778B0" w14:textId="77777777" w:rsidR="00CD7240" w:rsidRDefault="00CD7240" w:rsidP="00CE604F"/>
    <w:p w14:paraId="0E8DA69F" w14:textId="77777777" w:rsidR="00CD7240" w:rsidRDefault="00CD7240" w:rsidP="00CE604F"/>
    <w:p w14:paraId="6B3DDB74" w14:textId="77777777" w:rsidR="00CD7240" w:rsidRDefault="00CD7240"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FEEE7" w14:textId="77777777" w:rsidR="00005086" w:rsidRDefault="000050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03945" w14:textId="77777777" w:rsidR="00005086" w:rsidRDefault="0000508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C208B" w14:textId="77777777" w:rsidR="00005086" w:rsidRDefault="000050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B850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DAD6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EF229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F47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E6B4C57"/>
    <w:multiLevelType w:val="hybridMultilevel"/>
    <w:tmpl w:val="C980E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AAA77B9"/>
    <w:multiLevelType w:val="multilevel"/>
    <w:tmpl w:val="10D06328"/>
    <w:lvl w:ilvl="0">
      <w:numFmt w:val="bullet"/>
      <w:pStyle w:val="ListBullet"/>
      <w:lvlText w:val="•"/>
      <w:lvlJc w:val="left"/>
      <w:pPr>
        <w:tabs>
          <w:tab w:val="num" w:pos="426"/>
        </w:tabs>
        <w:ind w:left="426" w:hanging="284"/>
      </w:pPr>
      <w:rPr>
        <w:rFonts w:hint="default"/>
        <w:color w:val="auto"/>
        <w:position w:val="2"/>
        <w:sz w:val="20"/>
      </w:rPr>
    </w:lvl>
    <w:lvl w:ilvl="1">
      <w:start w:val="1"/>
      <w:numFmt w:val="bullet"/>
      <w:pStyle w:val="ListBullet2"/>
      <w:lvlText w:val="–"/>
      <w:lvlJc w:val="left"/>
      <w:pPr>
        <w:tabs>
          <w:tab w:val="num" w:pos="709"/>
        </w:tabs>
        <w:ind w:left="709" w:hanging="283"/>
      </w:pPr>
      <w:rPr>
        <w:rFonts w:ascii="Arial" w:hAnsi="Arial" w:hint="default"/>
        <w:color w:val="auto"/>
      </w:rPr>
    </w:lvl>
    <w:lvl w:ilvl="2">
      <w:start w:val="1"/>
      <w:numFmt w:val="bullet"/>
      <w:pStyle w:val="ListBullet3"/>
      <w:lvlText w:val="–"/>
      <w:lvlJc w:val="left"/>
      <w:pPr>
        <w:tabs>
          <w:tab w:val="num" w:pos="993"/>
        </w:tabs>
        <w:ind w:left="993" w:hanging="284"/>
      </w:pPr>
      <w:rPr>
        <w:rFonts w:ascii="Arial" w:hAnsi="Arial" w:hint="default"/>
        <w:color w:val="auto"/>
      </w:rPr>
    </w:lvl>
    <w:lvl w:ilvl="3">
      <w:start w:val="1"/>
      <w:numFmt w:val="none"/>
      <w:lvlText w:val=""/>
      <w:lvlJc w:val="left"/>
      <w:pPr>
        <w:ind w:left="1582" w:hanging="360"/>
      </w:pPr>
      <w:rPr>
        <w:rFonts w:hint="default"/>
      </w:rPr>
    </w:lvl>
    <w:lvl w:ilvl="4">
      <w:start w:val="1"/>
      <w:numFmt w:val="none"/>
      <w:lvlText w:val=""/>
      <w:lvlJc w:val="left"/>
      <w:pPr>
        <w:ind w:left="1942" w:hanging="360"/>
      </w:pPr>
      <w:rPr>
        <w:rFonts w:hint="default"/>
      </w:rPr>
    </w:lvl>
    <w:lvl w:ilvl="5">
      <w:start w:val="1"/>
      <w:numFmt w:val="none"/>
      <w:lvlText w:val=""/>
      <w:lvlJc w:val="left"/>
      <w:pPr>
        <w:ind w:left="2302" w:hanging="360"/>
      </w:pPr>
      <w:rPr>
        <w:rFonts w:hint="default"/>
      </w:rPr>
    </w:lvl>
    <w:lvl w:ilvl="6">
      <w:start w:val="1"/>
      <w:numFmt w:val="none"/>
      <w:lvlText w:val="%7"/>
      <w:lvlJc w:val="left"/>
      <w:pPr>
        <w:ind w:left="2662" w:hanging="360"/>
      </w:pPr>
      <w:rPr>
        <w:rFonts w:hint="default"/>
      </w:rPr>
    </w:lvl>
    <w:lvl w:ilvl="7">
      <w:start w:val="1"/>
      <w:numFmt w:val="none"/>
      <w:lvlText w:val=""/>
      <w:lvlJc w:val="left"/>
      <w:pPr>
        <w:ind w:left="3022" w:hanging="360"/>
      </w:pPr>
      <w:rPr>
        <w:rFonts w:hint="default"/>
      </w:rPr>
    </w:lvl>
    <w:lvl w:ilvl="8">
      <w:start w:val="1"/>
      <w:numFmt w:val="none"/>
      <w:lvlText w:val=""/>
      <w:lvlJc w:val="left"/>
      <w:pPr>
        <w:ind w:left="3382" w:hanging="360"/>
      </w:pPr>
      <w:rPr>
        <w:rFont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386B2BDC"/>
    <w:multiLevelType w:val="multilevel"/>
    <w:tmpl w:val="8CF2BA86"/>
    <w:name w:val="Bullets"/>
    <w:lvl w:ilvl="0">
      <w:start w:val="1"/>
      <w:numFmt w:val="bullet"/>
      <w:lvlText w:val=""/>
      <w:lvlJc w:val="left"/>
      <w:pPr>
        <w:tabs>
          <w:tab w:val="num" w:pos="284"/>
        </w:tabs>
        <w:ind w:left="284" w:hanging="284"/>
      </w:pPr>
      <w:rPr>
        <w:rFonts w:ascii="Symbol" w:hAnsi="Symbol" w:hint="default"/>
        <w:color w:val="auto"/>
        <w:position w:val="2"/>
        <w:sz w:val="20"/>
      </w:rPr>
    </w:lvl>
    <w:lvl w:ilvl="1">
      <w:start w:val="1"/>
      <w:numFmt w:val="bullet"/>
      <w:lvlText w:val="–"/>
      <w:lvlJc w:val="left"/>
      <w:pPr>
        <w:tabs>
          <w:tab w:val="num" w:pos="567"/>
        </w:tabs>
        <w:ind w:left="567" w:hanging="283"/>
      </w:pPr>
      <w:rPr>
        <w:rFonts w:ascii="Arial" w:hAnsi="Arial" w:hint="default"/>
        <w:color w:val="auto"/>
      </w:rPr>
    </w:lvl>
    <w:lvl w:ilvl="2">
      <w:start w:val="1"/>
      <w:numFmt w:val="bullet"/>
      <w:lvlText w:val="–"/>
      <w:lvlJc w:val="left"/>
      <w:pPr>
        <w:tabs>
          <w:tab w:val="num" w:pos="851"/>
        </w:tabs>
        <w:ind w:left="851" w:hanging="284"/>
      </w:pPr>
      <w:rPr>
        <w:rFonts w:ascii="Arial" w:hAnsi="Arial" w:hint="default"/>
        <w:color w:val="auto"/>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9" w15:restartNumberingAfterBreak="0">
    <w:nsid w:val="55B26570"/>
    <w:multiLevelType w:val="hybridMultilevel"/>
    <w:tmpl w:val="78DC1A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5"/>
  </w:num>
  <w:num w:numId="2">
    <w:abstractNumId w:val="11"/>
  </w:num>
  <w:num w:numId="3">
    <w:abstractNumId w:val="20"/>
  </w:num>
  <w:num w:numId="4">
    <w:abstractNumId w:val="16"/>
  </w:num>
  <w:num w:numId="5">
    <w:abstractNumId w:val="10"/>
  </w:num>
  <w:num w:numId="6">
    <w:abstractNumId w:val="18"/>
  </w:num>
  <w:num w:numId="7">
    <w:abstractNumId w:val="3"/>
  </w:num>
  <w:num w:numId="8">
    <w:abstractNumId w:val="9"/>
  </w:num>
  <w:num w:numId="9">
    <w:abstractNumId w:val="8"/>
  </w:num>
  <w:num w:numId="10">
    <w:abstractNumId w:val="2"/>
  </w:num>
  <w:num w:numId="11">
    <w:abstractNumId w:val="13"/>
  </w:num>
  <w:num w:numId="12">
    <w:abstractNumId w:val="17"/>
  </w:num>
  <w:num w:numId="13">
    <w:abstractNumId w:val="7"/>
  </w:num>
  <w:num w:numId="14">
    <w:abstractNumId w:val="6"/>
  </w:num>
  <w:num w:numId="15">
    <w:abstractNumId w:val="9"/>
    <w:lvlOverride w:ilvl="0">
      <w:startOverride w:val="1"/>
    </w:lvlOverride>
  </w:num>
  <w:num w:numId="16">
    <w:abstractNumId w:val="17"/>
  </w:num>
  <w:num w:numId="17">
    <w:abstractNumId w:val="17"/>
  </w:num>
  <w:num w:numId="18">
    <w:abstractNumId w:val="17"/>
  </w:num>
  <w:num w:numId="19">
    <w:abstractNumId w:val="13"/>
  </w:num>
  <w:num w:numId="20">
    <w:abstractNumId w:val="13"/>
  </w:num>
  <w:num w:numId="21">
    <w:abstractNumId w:val="13"/>
  </w:num>
  <w:num w:numId="22">
    <w:abstractNumId w:val="5"/>
  </w:num>
  <w:num w:numId="23">
    <w:abstractNumId w:val="4"/>
  </w:num>
  <w:num w:numId="24">
    <w:abstractNumId w:val="1"/>
  </w:num>
  <w:num w:numId="25">
    <w:abstractNumId w:val="0"/>
  </w:num>
  <w:num w:numId="26">
    <w:abstractNumId w:val="12"/>
  </w:num>
  <w:num w:numId="27">
    <w:abstractNumId w:val="19"/>
  </w:num>
  <w:num w:numId="28">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299"/>
    <w:rsid w:val="00005086"/>
    <w:rsid w:val="0000578C"/>
    <w:rsid w:val="00010362"/>
    <w:rsid w:val="00012493"/>
    <w:rsid w:val="00015395"/>
    <w:rsid w:val="00015489"/>
    <w:rsid w:val="00021629"/>
    <w:rsid w:val="000340A9"/>
    <w:rsid w:val="00035765"/>
    <w:rsid w:val="00035E23"/>
    <w:rsid w:val="00041675"/>
    <w:rsid w:val="00051849"/>
    <w:rsid w:val="00053FE1"/>
    <w:rsid w:val="00056673"/>
    <w:rsid w:val="00072C00"/>
    <w:rsid w:val="000767E6"/>
    <w:rsid w:val="0008298C"/>
    <w:rsid w:val="000830C8"/>
    <w:rsid w:val="000846FE"/>
    <w:rsid w:val="000873E7"/>
    <w:rsid w:val="0009559C"/>
    <w:rsid w:val="00095E19"/>
    <w:rsid w:val="000A0633"/>
    <w:rsid w:val="000A73E8"/>
    <w:rsid w:val="000B5463"/>
    <w:rsid w:val="000C2502"/>
    <w:rsid w:val="000C4EFB"/>
    <w:rsid w:val="000C7DD4"/>
    <w:rsid w:val="000D3C9D"/>
    <w:rsid w:val="000D6EA5"/>
    <w:rsid w:val="000E22A7"/>
    <w:rsid w:val="000E46A7"/>
    <w:rsid w:val="000F4372"/>
    <w:rsid w:val="000F4E1A"/>
    <w:rsid w:val="000F52FE"/>
    <w:rsid w:val="000F71C6"/>
    <w:rsid w:val="00103137"/>
    <w:rsid w:val="00104560"/>
    <w:rsid w:val="00113B8E"/>
    <w:rsid w:val="00114534"/>
    <w:rsid w:val="0011699E"/>
    <w:rsid w:val="001207DA"/>
    <w:rsid w:val="00121968"/>
    <w:rsid w:val="0012356D"/>
    <w:rsid w:val="00126586"/>
    <w:rsid w:val="001359F2"/>
    <w:rsid w:val="0013729F"/>
    <w:rsid w:val="0015135C"/>
    <w:rsid w:val="00152D85"/>
    <w:rsid w:val="00153248"/>
    <w:rsid w:val="001546E5"/>
    <w:rsid w:val="0015593C"/>
    <w:rsid w:val="001626E3"/>
    <w:rsid w:val="00162A63"/>
    <w:rsid w:val="0016458A"/>
    <w:rsid w:val="00171B11"/>
    <w:rsid w:val="001864B5"/>
    <w:rsid w:val="00191177"/>
    <w:rsid w:val="0019445B"/>
    <w:rsid w:val="001946CF"/>
    <w:rsid w:val="00194A12"/>
    <w:rsid w:val="00196728"/>
    <w:rsid w:val="00197639"/>
    <w:rsid w:val="001976D9"/>
    <w:rsid w:val="001A3E10"/>
    <w:rsid w:val="001B0978"/>
    <w:rsid w:val="001B0E1A"/>
    <w:rsid w:val="001B1BE4"/>
    <w:rsid w:val="001B3939"/>
    <w:rsid w:val="001B547E"/>
    <w:rsid w:val="001C5632"/>
    <w:rsid w:val="001C6741"/>
    <w:rsid w:val="001C6D0A"/>
    <w:rsid w:val="001E444C"/>
    <w:rsid w:val="001E5696"/>
    <w:rsid w:val="001F09FA"/>
    <w:rsid w:val="001F1E7B"/>
    <w:rsid w:val="001F427B"/>
    <w:rsid w:val="001F5141"/>
    <w:rsid w:val="001F6962"/>
    <w:rsid w:val="00206A5B"/>
    <w:rsid w:val="002108F8"/>
    <w:rsid w:val="00210D17"/>
    <w:rsid w:val="00214DB3"/>
    <w:rsid w:val="00215360"/>
    <w:rsid w:val="00215F5E"/>
    <w:rsid w:val="00217331"/>
    <w:rsid w:val="00220CCC"/>
    <w:rsid w:val="00221F39"/>
    <w:rsid w:val="00230CF5"/>
    <w:rsid w:val="002345A8"/>
    <w:rsid w:val="00240500"/>
    <w:rsid w:val="002417C3"/>
    <w:rsid w:val="002435F7"/>
    <w:rsid w:val="00250A74"/>
    <w:rsid w:val="00250D31"/>
    <w:rsid w:val="00260B9B"/>
    <w:rsid w:val="00271541"/>
    <w:rsid w:val="0027230C"/>
    <w:rsid w:val="00275B0E"/>
    <w:rsid w:val="0027603E"/>
    <w:rsid w:val="00283B16"/>
    <w:rsid w:val="00284A44"/>
    <w:rsid w:val="002862A5"/>
    <w:rsid w:val="002877DD"/>
    <w:rsid w:val="002900A6"/>
    <w:rsid w:val="002914EA"/>
    <w:rsid w:val="002922E2"/>
    <w:rsid w:val="00294100"/>
    <w:rsid w:val="002A29EE"/>
    <w:rsid w:val="002A5BE4"/>
    <w:rsid w:val="002B3442"/>
    <w:rsid w:val="002C3604"/>
    <w:rsid w:val="002C3D86"/>
    <w:rsid w:val="002C720A"/>
    <w:rsid w:val="002D2753"/>
    <w:rsid w:val="002D627C"/>
    <w:rsid w:val="002E0EFD"/>
    <w:rsid w:val="002E1732"/>
    <w:rsid w:val="002E2D7B"/>
    <w:rsid w:val="002F61B9"/>
    <w:rsid w:val="002F7020"/>
    <w:rsid w:val="003007A4"/>
    <w:rsid w:val="00306FD8"/>
    <w:rsid w:val="00307A5C"/>
    <w:rsid w:val="00307C95"/>
    <w:rsid w:val="00312DB3"/>
    <w:rsid w:val="003162EE"/>
    <w:rsid w:val="00316A00"/>
    <w:rsid w:val="0031759E"/>
    <w:rsid w:val="0032261C"/>
    <w:rsid w:val="0033198A"/>
    <w:rsid w:val="0033295D"/>
    <w:rsid w:val="003339AC"/>
    <w:rsid w:val="003357C3"/>
    <w:rsid w:val="00343F6C"/>
    <w:rsid w:val="003563BF"/>
    <w:rsid w:val="00361EB0"/>
    <w:rsid w:val="00363D19"/>
    <w:rsid w:val="00364827"/>
    <w:rsid w:val="00366F31"/>
    <w:rsid w:val="0037157C"/>
    <w:rsid w:val="003771A1"/>
    <w:rsid w:val="00386225"/>
    <w:rsid w:val="00390299"/>
    <w:rsid w:val="003937FC"/>
    <w:rsid w:val="00395614"/>
    <w:rsid w:val="00395B75"/>
    <w:rsid w:val="003A1C7A"/>
    <w:rsid w:val="003A1DE6"/>
    <w:rsid w:val="003A2777"/>
    <w:rsid w:val="003A2B8D"/>
    <w:rsid w:val="003A75BE"/>
    <w:rsid w:val="003B403F"/>
    <w:rsid w:val="003C5A9B"/>
    <w:rsid w:val="003C6348"/>
    <w:rsid w:val="003D00CA"/>
    <w:rsid w:val="003D282E"/>
    <w:rsid w:val="003D48DA"/>
    <w:rsid w:val="003D720C"/>
    <w:rsid w:val="003E4573"/>
    <w:rsid w:val="003F017A"/>
    <w:rsid w:val="003F3636"/>
    <w:rsid w:val="004004EE"/>
    <w:rsid w:val="004014A3"/>
    <w:rsid w:val="00406F2C"/>
    <w:rsid w:val="0040772E"/>
    <w:rsid w:val="0041053A"/>
    <w:rsid w:val="004107B6"/>
    <w:rsid w:val="00411F2C"/>
    <w:rsid w:val="0041214E"/>
    <w:rsid w:val="0042172C"/>
    <w:rsid w:val="00421F96"/>
    <w:rsid w:val="00423980"/>
    <w:rsid w:val="00426496"/>
    <w:rsid w:val="00436650"/>
    <w:rsid w:val="00437122"/>
    <w:rsid w:val="00444C5F"/>
    <w:rsid w:val="004470FA"/>
    <w:rsid w:val="00447B04"/>
    <w:rsid w:val="004513C1"/>
    <w:rsid w:val="00456338"/>
    <w:rsid w:val="004568F3"/>
    <w:rsid w:val="00461C05"/>
    <w:rsid w:val="00462820"/>
    <w:rsid w:val="00466A5F"/>
    <w:rsid w:val="004735CE"/>
    <w:rsid w:val="0048346E"/>
    <w:rsid w:val="00484C6E"/>
    <w:rsid w:val="004853D9"/>
    <w:rsid w:val="0048747B"/>
    <w:rsid w:val="00487805"/>
    <w:rsid w:val="00490898"/>
    <w:rsid w:val="0049166C"/>
    <w:rsid w:val="0049315B"/>
    <w:rsid w:val="00494757"/>
    <w:rsid w:val="00495432"/>
    <w:rsid w:val="004A1855"/>
    <w:rsid w:val="004A1ADD"/>
    <w:rsid w:val="004A1F23"/>
    <w:rsid w:val="004A4AE1"/>
    <w:rsid w:val="004B497A"/>
    <w:rsid w:val="004B545B"/>
    <w:rsid w:val="004B6B3F"/>
    <w:rsid w:val="004C34A2"/>
    <w:rsid w:val="004C5421"/>
    <w:rsid w:val="004D13DC"/>
    <w:rsid w:val="004D2DEE"/>
    <w:rsid w:val="004D392B"/>
    <w:rsid w:val="004E0DF1"/>
    <w:rsid w:val="004E1E84"/>
    <w:rsid w:val="004E3189"/>
    <w:rsid w:val="004E57CE"/>
    <w:rsid w:val="004E735A"/>
    <w:rsid w:val="004F46FF"/>
    <w:rsid w:val="004F52AC"/>
    <w:rsid w:val="004F6746"/>
    <w:rsid w:val="0050149F"/>
    <w:rsid w:val="005129D9"/>
    <w:rsid w:val="00512BC7"/>
    <w:rsid w:val="0051345A"/>
    <w:rsid w:val="00523A60"/>
    <w:rsid w:val="00531BEE"/>
    <w:rsid w:val="00533CE6"/>
    <w:rsid w:val="005353AA"/>
    <w:rsid w:val="00552ED1"/>
    <w:rsid w:val="00555916"/>
    <w:rsid w:val="005562F1"/>
    <w:rsid w:val="005567C3"/>
    <w:rsid w:val="00557B84"/>
    <w:rsid w:val="00561C65"/>
    <w:rsid w:val="00562905"/>
    <w:rsid w:val="00563121"/>
    <w:rsid w:val="00585605"/>
    <w:rsid w:val="00593EDF"/>
    <w:rsid w:val="00595475"/>
    <w:rsid w:val="00595895"/>
    <w:rsid w:val="00597307"/>
    <w:rsid w:val="005B374E"/>
    <w:rsid w:val="005B4482"/>
    <w:rsid w:val="005B7F2F"/>
    <w:rsid w:val="005C11CA"/>
    <w:rsid w:val="005C428F"/>
    <w:rsid w:val="005D35B0"/>
    <w:rsid w:val="005D47B0"/>
    <w:rsid w:val="005D4B4A"/>
    <w:rsid w:val="005E5955"/>
    <w:rsid w:val="005E777F"/>
    <w:rsid w:val="005F5864"/>
    <w:rsid w:val="00603066"/>
    <w:rsid w:val="00607FD8"/>
    <w:rsid w:val="0061505F"/>
    <w:rsid w:val="0061751B"/>
    <w:rsid w:val="00621363"/>
    <w:rsid w:val="0062297D"/>
    <w:rsid w:val="006251CD"/>
    <w:rsid w:val="006338FE"/>
    <w:rsid w:val="00634604"/>
    <w:rsid w:val="00645D96"/>
    <w:rsid w:val="00653A59"/>
    <w:rsid w:val="00654462"/>
    <w:rsid w:val="006545E3"/>
    <w:rsid w:val="0065589F"/>
    <w:rsid w:val="006608C0"/>
    <w:rsid w:val="00662EC6"/>
    <w:rsid w:val="00663AE9"/>
    <w:rsid w:val="0067249B"/>
    <w:rsid w:val="00676B87"/>
    <w:rsid w:val="00677EE0"/>
    <w:rsid w:val="00680DFB"/>
    <w:rsid w:val="0068456E"/>
    <w:rsid w:val="0068762B"/>
    <w:rsid w:val="00692792"/>
    <w:rsid w:val="006A0287"/>
    <w:rsid w:val="006A1C58"/>
    <w:rsid w:val="006A2BF7"/>
    <w:rsid w:val="006B5921"/>
    <w:rsid w:val="006B5B56"/>
    <w:rsid w:val="006C059A"/>
    <w:rsid w:val="006C596B"/>
    <w:rsid w:val="006D39B9"/>
    <w:rsid w:val="006E58AA"/>
    <w:rsid w:val="006E6E31"/>
    <w:rsid w:val="006F0469"/>
    <w:rsid w:val="006F2C20"/>
    <w:rsid w:val="007003CF"/>
    <w:rsid w:val="00701A83"/>
    <w:rsid w:val="00702575"/>
    <w:rsid w:val="00703498"/>
    <w:rsid w:val="007043E3"/>
    <w:rsid w:val="00705479"/>
    <w:rsid w:val="00705838"/>
    <w:rsid w:val="007062B5"/>
    <w:rsid w:val="0070694E"/>
    <w:rsid w:val="00706BE0"/>
    <w:rsid w:val="00706FD3"/>
    <w:rsid w:val="00710616"/>
    <w:rsid w:val="00712E1C"/>
    <w:rsid w:val="00717673"/>
    <w:rsid w:val="007207EC"/>
    <w:rsid w:val="00730BC4"/>
    <w:rsid w:val="00735058"/>
    <w:rsid w:val="00740BE0"/>
    <w:rsid w:val="00742416"/>
    <w:rsid w:val="00743140"/>
    <w:rsid w:val="00746CAB"/>
    <w:rsid w:val="0075216C"/>
    <w:rsid w:val="00754905"/>
    <w:rsid w:val="007641F5"/>
    <w:rsid w:val="00765E2C"/>
    <w:rsid w:val="00773F6E"/>
    <w:rsid w:val="0077461F"/>
    <w:rsid w:val="00774933"/>
    <w:rsid w:val="0077640A"/>
    <w:rsid w:val="00781A61"/>
    <w:rsid w:val="00783165"/>
    <w:rsid w:val="007861DF"/>
    <w:rsid w:val="00787A5E"/>
    <w:rsid w:val="00790D82"/>
    <w:rsid w:val="007A1CDE"/>
    <w:rsid w:val="007A4A19"/>
    <w:rsid w:val="007A6E03"/>
    <w:rsid w:val="007A7DD9"/>
    <w:rsid w:val="007B12C6"/>
    <w:rsid w:val="007B296D"/>
    <w:rsid w:val="007C0A4C"/>
    <w:rsid w:val="007C1EB3"/>
    <w:rsid w:val="007C5426"/>
    <w:rsid w:val="007C5AF5"/>
    <w:rsid w:val="007C5D2E"/>
    <w:rsid w:val="007D5312"/>
    <w:rsid w:val="007D788F"/>
    <w:rsid w:val="007E0193"/>
    <w:rsid w:val="007E0E7A"/>
    <w:rsid w:val="007E23B9"/>
    <w:rsid w:val="007E34EA"/>
    <w:rsid w:val="007F05D2"/>
    <w:rsid w:val="008046A0"/>
    <w:rsid w:val="008066AA"/>
    <w:rsid w:val="008115C3"/>
    <w:rsid w:val="008143BB"/>
    <w:rsid w:val="008169A6"/>
    <w:rsid w:val="00830EAA"/>
    <w:rsid w:val="0083162B"/>
    <w:rsid w:val="008378A6"/>
    <w:rsid w:val="00841D8C"/>
    <w:rsid w:val="008428C4"/>
    <w:rsid w:val="008429D4"/>
    <w:rsid w:val="00847025"/>
    <w:rsid w:val="00847D90"/>
    <w:rsid w:val="00854CEA"/>
    <w:rsid w:val="00860935"/>
    <w:rsid w:val="00860D8D"/>
    <w:rsid w:val="008616F3"/>
    <w:rsid w:val="00861F48"/>
    <w:rsid w:val="00862661"/>
    <w:rsid w:val="00864767"/>
    <w:rsid w:val="0087344F"/>
    <w:rsid w:val="0087779B"/>
    <w:rsid w:val="008832AA"/>
    <w:rsid w:val="008B12C3"/>
    <w:rsid w:val="008B1448"/>
    <w:rsid w:val="008B2A9A"/>
    <w:rsid w:val="008D5F8A"/>
    <w:rsid w:val="008E13E8"/>
    <w:rsid w:val="008E31E1"/>
    <w:rsid w:val="008F3B94"/>
    <w:rsid w:val="008F5002"/>
    <w:rsid w:val="008F6661"/>
    <w:rsid w:val="00903687"/>
    <w:rsid w:val="00910D31"/>
    <w:rsid w:val="009115AB"/>
    <w:rsid w:val="00912336"/>
    <w:rsid w:val="009172F6"/>
    <w:rsid w:val="00922F59"/>
    <w:rsid w:val="00930869"/>
    <w:rsid w:val="0093235E"/>
    <w:rsid w:val="00937703"/>
    <w:rsid w:val="0093771A"/>
    <w:rsid w:val="0094605E"/>
    <w:rsid w:val="00953ABE"/>
    <w:rsid w:val="00954C94"/>
    <w:rsid w:val="00963ABA"/>
    <w:rsid w:val="00966C88"/>
    <w:rsid w:val="00970733"/>
    <w:rsid w:val="00971677"/>
    <w:rsid w:val="00972889"/>
    <w:rsid w:val="00981378"/>
    <w:rsid w:val="0098152B"/>
    <w:rsid w:val="0098156E"/>
    <w:rsid w:val="0098415F"/>
    <w:rsid w:val="00984A8A"/>
    <w:rsid w:val="00984E09"/>
    <w:rsid w:val="00985876"/>
    <w:rsid w:val="00986C85"/>
    <w:rsid w:val="00994CB7"/>
    <w:rsid w:val="00995A1B"/>
    <w:rsid w:val="009976E0"/>
    <w:rsid w:val="009A2615"/>
    <w:rsid w:val="009A2FBA"/>
    <w:rsid w:val="009A38C0"/>
    <w:rsid w:val="009B5D92"/>
    <w:rsid w:val="009C5C32"/>
    <w:rsid w:val="009D6278"/>
    <w:rsid w:val="009E0153"/>
    <w:rsid w:val="009E1FE8"/>
    <w:rsid w:val="009E3888"/>
    <w:rsid w:val="009E4906"/>
    <w:rsid w:val="009F184B"/>
    <w:rsid w:val="009F25EE"/>
    <w:rsid w:val="009F44CD"/>
    <w:rsid w:val="00A01D7D"/>
    <w:rsid w:val="00A02A49"/>
    <w:rsid w:val="00A02F5D"/>
    <w:rsid w:val="00A12C87"/>
    <w:rsid w:val="00A15D80"/>
    <w:rsid w:val="00A15EF9"/>
    <w:rsid w:val="00A17099"/>
    <w:rsid w:val="00A21F56"/>
    <w:rsid w:val="00A24C55"/>
    <w:rsid w:val="00A26D88"/>
    <w:rsid w:val="00A27EBF"/>
    <w:rsid w:val="00A32B59"/>
    <w:rsid w:val="00A33B33"/>
    <w:rsid w:val="00A377BC"/>
    <w:rsid w:val="00A37C70"/>
    <w:rsid w:val="00A41F86"/>
    <w:rsid w:val="00A4340C"/>
    <w:rsid w:val="00A43AE6"/>
    <w:rsid w:val="00A4776F"/>
    <w:rsid w:val="00A529E9"/>
    <w:rsid w:val="00A54310"/>
    <w:rsid w:val="00A61E23"/>
    <w:rsid w:val="00A75C29"/>
    <w:rsid w:val="00A82BB2"/>
    <w:rsid w:val="00A83926"/>
    <w:rsid w:val="00A855D3"/>
    <w:rsid w:val="00A93736"/>
    <w:rsid w:val="00A93988"/>
    <w:rsid w:val="00A93C0B"/>
    <w:rsid w:val="00A94C7E"/>
    <w:rsid w:val="00A97124"/>
    <w:rsid w:val="00AA751F"/>
    <w:rsid w:val="00AB0F90"/>
    <w:rsid w:val="00AB458A"/>
    <w:rsid w:val="00AB4A85"/>
    <w:rsid w:val="00AB5839"/>
    <w:rsid w:val="00AC0510"/>
    <w:rsid w:val="00AC1D9F"/>
    <w:rsid w:val="00AC1E0E"/>
    <w:rsid w:val="00AD38E4"/>
    <w:rsid w:val="00AD440A"/>
    <w:rsid w:val="00AD45EE"/>
    <w:rsid w:val="00AD4E4D"/>
    <w:rsid w:val="00AE404C"/>
    <w:rsid w:val="00AE5FC8"/>
    <w:rsid w:val="00AE76BF"/>
    <w:rsid w:val="00AF214F"/>
    <w:rsid w:val="00AF386C"/>
    <w:rsid w:val="00B03C9D"/>
    <w:rsid w:val="00B04F66"/>
    <w:rsid w:val="00B118A3"/>
    <w:rsid w:val="00B14589"/>
    <w:rsid w:val="00B15409"/>
    <w:rsid w:val="00B21E43"/>
    <w:rsid w:val="00B21E88"/>
    <w:rsid w:val="00B21F67"/>
    <w:rsid w:val="00B21F6A"/>
    <w:rsid w:val="00B32E22"/>
    <w:rsid w:val="00B47952"/>
    <w:rsid w:val="00B50EB7"/>
    <w:rsid w:val="00B5359B"/>
    <w:rsid w:val="00B60586"/>
    <w:rsid w:val="00B60F65"/>
    <w:rsid w:val="00B67069"/>
    <w:rsid w:val="00B670B4"/>
    <w:rsid w:val="00B67D19"/>
    <w:rsid w:val="00B70BE5"/>
    <w:rsid w:val="00B72E76"/>
    <w:rsid w:val="00B7301C"/>
    <w:rsid w:val="00B734A1"/>
    <w:rsid w:val="00B85B84"/>
    <w:rsid w:val="00B95649"/>
    <w:rsid w:val="00B9575B"/>
    <w:rsid w:val="00B97711"/>
    <w:rsid w:val="00BA0A5C"/>
    <w:rsid w:val="00BA1870"/>
    <w:rsid w:val="00BA3AD2"/>
    <w:rsid w:val="00BA540D"/>
    <w:rsid w:val="00BB105F"/>
    <w:rsid w:val="00BB17CB"/>
    <w:rsid w:val="00BB1ADB"/>
    <w:rsid w:val="00BB4393"/>
    <w:rsid w:val="00BD2821"/>
    <w:rsid w:val="00BE1440"/>
    <w:rsid w:val="00BE1CD2"/>
    <w:rsid w:val="00BF3A65"/>
    <w:rsid w:val="00BF3F49"/>
    <w:rsid w:val="00C04A64"/>
    <w:rsid w:val="00C04F80"/>
    <w:rsid w:val="00C05C35"/>
    <w:rsid w:val="00C07297"/>
    <w:rsid w:val="00C1594A"/>
    <w:rsid w:val="00C162F8"/>
    <w:rsid w:val="00C203C6"/>
    <w:rsid w:val="00C21EBD"/>
    <w:rsid w:val="00C223F7"/>
    <w:rsid w:val="00C25111"/>
    <w:rsid w:val="00C25162"/>
    <w:rsid w:val="00C303C2"/>
    <w:rsid w:val="00C34ACD"/>
    <w:rsid w:val="00C34DD9"/>
    <w:rsid w:val="00C424D2"/>
    <w:rsid w:val="00C46957"/>
    <w:rsid w:val="00C5027F"/>
    <w:rsid w:val="00C513DF"/>
    <w:rsid w:val="00C559D8"/>
    <w:rsid w:val="00C609EC"/>
    <w:rsid w:val="00C6312A"/>
    <w:rsid w:val="00C65F7E"/>
    <w:rsid w:val="00C73186"/>
    <w:rsid w:val="00C73616"/>
    <w:rsid w:val="00C7497D"/>
    <w:rsid w:val="00C74F2B"/>
    <w:rsid w:val="00C76782"/>
    <w:rsid w:val="00C7698C"/>
    <w:rsid w:val="00C807A8"/>
    <w:rsid w:val="00C815F2"/>
    <w:rsid w:val="00C83561"/>
    <w:rsid w:val="00C851C0"/>
    <w:rsid w:val="00C85B0C"/>
    <w:rsid w:val="00C86E4D"/>
    <w:rsid w:val="00C877ED"/>
    <w:rsid w:val="00C9089B"/>
    <w:rsid w:val="00C911BB"/>
    <w:rsid w:val="00C92BE5"/>
    <w:rsid w:val="00CA3449"/>
    <w:rsid w:val="00CA7121"/>
    <w:rsid w:val="00CA7859"/>
    <w:rsid w:val="00CB1160"/>
    <w:rsid w:val="00CB1B40"/>
    <w:rsid w:val="00CB5A5B"/>
    <w:rsid w:val="00CB6F87"/>
    <w:rsid w:val="00CC3035"/>
    <w:rsid w:val="00CC3849"/>
    <w:rsid w:val="00CD4B89"/>
    <w:rsid w:val="00CD7240"/>
    <w:rsid w:val="00CE0BDC"/>
    <w:rsid w:val="00CE1F40"/>
    <w:rsid w:val="00CE2F73"/>
    <w:rsid w:val="00CE3F4B"/>
    <w:rsid w:val="00CE43C2"/>
    <w:rsid w:val="00CE604F"/>
    <w:rsid w:val="00CE6C8C"/>
    <w:rsid w:val="00CF0500"/>
    <w:rsid w:val="00CF2B50"/>
    <w:rsid w:val="00CF3059"/>
    <w:rsid w:val="00CF54C2"/>
    <w:rsid w:val="00D02339"/>
    <w:rsid w:val="00D034A7"/>
    <w:rsid w:val="00D04820"/>
    <w:rsid w:val="00D06AD4"/>
    <w:rsid w:val="00D10B3F"/>
    <w:rsid w:val="00D17B78"/>
    <w:rsid w:val="00D20815"/>
    <w:rsid w:val="00D24945"/>
    <w:rsid w:val="00D26389"/>
    <w:rsid w:val="00D2719A"/>
    <w:rsid w:val="00D30873"/>
    <w:rsid w:val="00D3557F"/>
    <w:rsid w:val="00D37654"/>
    <w:rsid w:val="00D42FA1"/>
    <w:rsid w:val="00D46BB0"/>
    <w:rsid w:val="00D51C03"/>
    <w:rsid w:val="00D52465"/>
    <w:rsid w:val="00D64540"/>
    <w:rsid w:val="00D6642E"/>
    <w:rsid w:val="00D72DB9"/>
    <w:rsid w:val="00D75355"/>
    <w:rsid w:val="00D7569B"/>
    <w:rsid w:val="00D75D48"/>
    <w:rsid w:val="00D90123"/>
    <w:rsid w:val="00D914F2"/>
    <w:rsid w:val="00D918DE"/>
    <w:rsid w:val="00D91CAC"/>
    <w:rsid w:val="00D9361E"/>
    <w:rsid w:val="00D93B10"/>
    <w:rsid w:val="00D94981"/>
    <w:rsid w:val="00DA1A48"/>
    <w:rsid w:val="00DA5EA3"/>
    <w:rsid w:val="00DA61F7"/>
    <w:rsid w:val="00DB0119"/>
    <w:rsid w:val="00DB03DC"/>
    <w:rsid w:val="00DB2401"/>
    <w:rsid w:val="00DB329F"/>
    <w:rsid w:val="00DB5D80"/>
    <w:rsid w:val="00DB6164"/>
    <w:rsid w:val="00DB63C0"/>
    <w:rsid w:val="00DC6238"/>
    <w:rsid w:val="00DC6E85"/>
    <w:rsid w:val="00DC7FF7"/>
    <w:rsid w:val="00DD27FD"/>
    <w:rsid w:val="00DD5283"/>
    <w:rsid w:val="00DD5FD9"/>
    <w:rsid w:val="00DD765B"/>
    <w:rsid w:val="00DE0466"/>
    <w:rsid w:val="00DE0904"/>
    <w:rsid w:val="00DE20AE"/>
    <w:rsid w:val="00DE671C"/>
    <w:rsid w:val="00DF1357"/>
    <w:rsid w:val="00DF43C8"/>
    <w:rsid w:val="00DF5912"/>
    <w:rsid w:val="00DF59B9"/>
    <w:rsid w:val="00DF6574"/>
    <w:rsid w:val="00DF669F"/>
    <w:rsid w:val="00E002F7"/>
    <w:rsid w:val="00E1112D"/>
    <w:rsid w:val="00E1361A"/>
    <w:rsid w:val="00E20F8F"/>
    <w:rsid w:val="00E23E90"/>
    <w:rsid w:val="00E26469"/>
    <w:rsid w:val="00E26AB2"/>
    <w:rsid w:val="00E26BAA"/>
    <w:rsid w:val="00E30C03"/>
    <w:rsid w:val="00E32337"/>
    <w:rsid w:val="00E33C5A"/>
    <w:rsid w:val="00E3775C"/>
    <w:rsid w:val="00E4067B"/>
    <w:rsid w:val="00E46529"/>
    <w:rsid w:val="00E46C48"/>
    <w:rsid w:val="00E51F76"/>
    <w:rsid w:val="00E52EEE"/>
    <w:rsid w:val="00E6165C"/>
    <w:rsid w:val="00E64FA8"/>
    <w:rsid w:val="00E661E3"/>
    <w:rsid w:val="00E75FD9"/>
    <w:rsid w:val="00E7768B"/>
    <w:rsid w:val="00E8179E"/>
    <w:rsid w:val="00E85B22"/>
    <w:rsid w:val="00E920E5"/>
    <w:rsid w:val="00E95F23"/>
    <w:rsid w:val="00E96E92"/>
    <w:rsid w:val="00EA1085"/>
    <w:rsid w:val="00EA40AC"/>
    <w:rsid w:val="00EB082E"/>
    <w:rsid w:val="00EB134B"/>
    <w:rsid w:val="00EB4577"/>
    <w:rsid w:val="00EB7290"/>
    <w:rsid w:val="00EC1D8C"/>
    <w:rsid w:val="00ED14CD"/>
    <w:rsid w:val="00ED3012"/>
    <w:rsid w:val="00ED47A9"/>
    <w:rsid w:val="00EE7207"/>
    <w:rsid w:val="00EF31D4"/>
    <w:rsid w:val="00EF6258"/>
    <w:rsid w:val="00EF6E8B"/>
    <w:rsid w:val="00EF7C07"/>
    <w:rsid w:val="00F023C8"/>
    <w:rsid w:val="00F04026"/>
    <w:rsid w:val="00F14500"/>
    <w:rsid w:val="00F20E6E"/>
    <w:rsid w:val="00F21594"/>
    <w:rsid w:val="00F219C5"/>
    <w:rsid w:val="00F232F4"/>
    <w:rsid w:val="00F32305"/>
    <w:rsid w:val="00F33B65"/>
    <w:rsid w:val="00F344F5"/>
    <w:rsid w:val="00F375CF"/>
    <w:rsid w:val="00F47873"/>
    <w:rsid w:val="00F51B2F"/>
    <w:rsid w:val="00F53D12"/>
    <w:rsid w:val="00F53EC4"/>
    <w:rsid w:val="00F60A8F"/>
    <w:rsid w:val="00F60DB9"/>
    <w:rsid w:val="00F64AE8"/>
    <w:rsid w:val="00F65C1E"/>
    <w:rsid w:val="00F65F0D"/>
    <w:rsid w:val="00F70426"/>
    <w:rsid w:val="00F731A4"/>
    <w:rsid w:val="00F73718"/>
    <w:rsid w:val="00F74686"/>
    <w:rsid w:val="00F757B1"/>
    <w:rsid w:val="00F80344"/>
    <w:rsid w:val="00F8171D"/>
    <w:rsid w:val="00F85E5B"/>
    <w:rsid w:val="00F9166C"/>
    <w:rsid w:val="00F925BF"/>
    <w:rsid w:val="00F926CF"/>
    <w:rsid w:val="00F938C2"/>
    <w:rsid w:val="00F93C8D"/>
    <w:rsid w:val="00F942E8"/>
    <w:rsid w:val="00F947F4"/>
    <w:rsid w:val="00FA3EEC"/>
    <w:rsid w:val="00FA77C1"/>
    <w:rsid w:val="00FB175A"/>
    <w:rsid w:val="00FB61A9"/>
    <w:rsid w:val="00FC0043"/>
    <w:rsid w:val="00FC4BBB"/>
    <w:rsid w:val="00FD1ED4"/>
    <w:rsid w:val="00FD2407"/>
    <w:rsid w:val="00FD306A"/>
    <w:rsid w:val="00FD36D9"/>
    <w:rsid w:val="00FD57F5"/>
    <w:rsid w:val="00FD67CD"/>
    <w:rsid w:val="00FD7DC7"/>
    <w:rsid w:val="00FD7E58"/>
    <w:rsid w:val="00FE0A31"/>
    <w:rsid w:val="00FE0DB5"/>
    <w:rsid w:val="00FE1E37"/>
    <w:rsid w:val="00FE3EEB"/>
    <w:rsid w:val="00FE446D"/>
    <w:rsid w:val="00FE49E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DAB4F4F"/>
  <w15:docId w15:val="{AAF9E5EC-127F-401C-8773-F40C5EAFF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8"/>
        <w:szCs w:val="18"/>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4B545B"/>
    <w:pPr>
      <w:spacing w:line="270" w:lineRule="atLeast"/>
    </w:pPr>
  </w:style>
  <w:style w:type="paragraph" w:styleId="Heading1">
    <w:name w:val="heading 1"/>
    <w:basedOn w:val="BodyText"/>
    <w:next w:val="BodyText"/>
    <w:qFormat/>
    <w:rsid w:val="004B545B"/>
    <w:pPr>
      <w:keepNext/>
      <w:spacing w:before="300" w:after="100" w:line="240" w:lineRule="auto"/>
      <w:outlineLvl w:val="0"/>
    </w:pPr>
    <w:rPr>
      <w:rFonts w:asciiTheme="majorHAnsi" w:hAnsiTheme="majorHAnsi"/>
      <w:b/>
      <w:caps/>
      <w:color w:val="003263" w:themeColor="text2"/>
      <w:spacing w:val="6"/>
      <w:sz w:val="22"/>
    </w:rPr>
  </w:style>
  <w:style w:type="paragraph" w:styleId="Heading2">
    <w:name w:val="heading 2"/>
    <w:basedOn w:val="BodyText"/>
    <w:next w:val="BodyText"/>
    <w:qFormat/>
    <w:rsid w:val="004B545B"/>
    <w:pPr>
      <w:keepNext/>
      <w:spacing w:before="300" w:after="100" w:line="240" w:lineRule="auto"/>
      <w:outlineLvl w:val="1"/>
    </w:pPr>
    <w:rPr>
      <w:rFonts w:asciiTheme="majorHAnsi" w:hAnsiTheme="majorHAnsi"/>
      <w:b/>
      <w:color w:val="003263" w:themeColor="text2"/>
      <w:spacing w:val="6"/>
      <w:sz w:val="20"/>
    </w:rPr>
  </w:style>
  <w:style w:type="paragraph" w:styleId="Heading3">
    <w:name w:val="heading 3"/>
    <w:basedOn w:val="Normal"/>
    <w:next w:val="BodyText"/>
    <w:qFormat/>
    <w:rsid w:val="004B545B"/>
    <w:pPr>
      <w:spacing w:before="300" w:after="120" w:line="240" w:lineRule="auto"/>
      <w:outlineLvl w:val="2"/>
    </w:pPr>
    <w:rPr>
      <w:rFonts w:asciiTheme="majorHAnsi" w:hAnsiTheme="majorHAnsi"/>
      <w:i/>
      <w:color w:val="003263" w:themeColor="text2"/>
      <w:spacing w:val="6"/>
      <w:sz w:val="20"/>
    </w:rPr>
  </w:style>
  <w:style w:type="paragraph" w:styleId="Heading4">
    <w:name w:val="heading 4"/>
    <w:basedOn w:val="Normal"/>
    <w:next w:val="BodyText"/>
    <w:semiHidden/>
    <w:rsid w:val="0013729F"/>
    <w:pPr>
      <w:keepNext/>
      <w:spacing w:before="260" w:line="259" w:lineRule="auto"/>
      <w:outlineLvl w:val="3"/>
    </w:pPr>
    <w:rPr>
      <w:bCs/>
      <w:i/>
      <w:szCs w:val="28"/>
    </w:rPr>
  </w:style>
  <w:style w:type="paragraph" w:styleId="Heading5">
    <w:name w:val="heading 5"/>
    <w:basedOn w:val="Normal"/>
    <w:next w:val="Normal"/>
    <w:semiHidden/>
    <w:rsid w:val="00BF3A65"/>
    <w:pPr>
      <w:spacing w:before="240" w:after="60"/>
      <w:outlineLvl w:val="4"/>
    </w:pPr>
    <w:rPr>
      <w:b/>
      <w:bCs/>
      <w:i/>
      <w:iCs/>
      <w:sz w:val="26"/>
      <w:szCs w:val="26"/>
    </w:rPr>
  </w:style>
  <w:style w:type="paragraph" w:styleId="Heading6">
    <w:name w:val="heading 6"/>
    <w:basedOn w:val="Normal"/>
    <w:next w:val="Normal"/>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17B78"/>
    <w:pPr>
      <w:tabs>
        <w:tab w:val="center" w:pos="4513"/>
        <w:tab w:val="right" w:pos="9026"/>
      </w:tabs>
    </w:pPr>
  </w:style>
  <w:style w:type="character" w:customStyle="1" w:styleId="HeaderChar">
    <w:name w:val="Header Char"/>
    <w:basedOn w:val="DefaultParagraphFont"/>
    <w:link w:val="Header"/>
    <w:uiPriority w:val="99"/>
    <w:rsid w:val="00860935"/>
  </w:style>
  <w:style w:type="paragraph" w:styleId="Footer">
    <w:name w:val="footer"/>
    <w:basedOn w:val="Normal"/>
    <w:link w:val="FooterChar"/>
    <w:uiPriority w:val="99"/>
    <w:rsid w:val="001F6962"/>
  </w:style>
  <w:style w:type="character" w:customStyle="1" w:styleId="FooterChar">
    <w:name w:val="Footer Char"/>
    <w:basedOn w:val="DefaultParagraphFont"/>
    <w:link w:val="Footer"/>
    <w:uiPriority w:val="99"/>
    <w:rsid w:val="00860935"/>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654462"/>
    <w:pPr>
      <w:spacing w:line="200" w:lineRule="exact"/>
      <w:ind w:left="113" w:right="113"/>
    </w:pPr>
    <w:rPr>
      <w:sz w:val="16"/>
    </w:rPr>
    <w:tblPr>
      <w:tblBorders>
        <w:top w:val="single" w:sz="4" w:space="0" w:color="8ACED7" w:themeColor="accent1"/>
        <w:bottom w:val="single" w:sz="4" w:space="0" w:color="8ACED7" w:themeColor="accent1"/>
        <w:insideH w:val="single" w:sz="4" w:space="0" w:color="8ACED7" w:themeColor="accent1"/>
      </w:tblBorders>
      <w:tblCellMar>
        <w:left w:w="0" w:type="dxa"/>
        <w:bottom w:w="79" w:type="dxa"/>
        <w:right w:w="0" w:type="dxa"/>
      </w:tblCellMar>
    </w:tblPr>
    <w:tcPr>
      <w:vAlign w:val="center"/>
    </w:tcPr>
    <w:tblStylePr w:type="firstRow">
      <w:pPr>
        <w:wordWrap/>
        <w:spacing w:beforeLines="0" w:before="0" w:beforeAutospacing="0" w:afterLines="0" w:after="0" w:afterAutospacing="0" w:line="180" w:lineRule="exact"/>
        <w:jc w:val="left"/>
      </w:pPr>
      <w:rPr>
        <w:rFonts w:asciiTheme="majorHAnsi" w:hAnsiTheme="majorHAnsi"/>
        <w:b/>
        <w:caps/>
        <w:smallCaps w:val="0"/>
        <w:color w:val="FFFFFF" w:themeColor="background1"/>
        <w:spacing w:val="6"/>
        <w:sz w:val="22"/>
      </w:rPr>
      <w:tblPr/>
      <w:trPr>
        <w:tblHeader/>
      </w:trPr>
      <w:tcPr>
        <w:shd w:val="clear" w:color="auto" w:fill="8ACED7" w:themeFill="accent1"/>
        <w:tcMar>
          <w:top w:w="40" w:type="dxa"/>
          <w:left w:w="0" w:type="nil"/>
          <w:bottom w:w="45" w:type="dxa"/>
          <w:right w:w="0" w:type="nil"/>
        </w:tcMar>
      </w:tcPr>
    </w:tblStylePr>
    <w:tblStylePr w:type="firstCol">
      <w:pPr>
        <w:jc w:val="left"/>
      </w:pPr>
      <w:rPr>
        <w:b/>
        <w:caps/>
        <w:smallCaps w:val="0"/>
      </w:rPr>
      <w:tblPr/>
      <w:tcPr>
        <w:vAlign w:val="center"/>
      </w:tcPr>
    </w:tblStylePr>
  </w:style>
  <w:style w:type="paragraph" w:styleId="BodyText">
    <w:name w:val="Body Text"/>
    <w:basedOn w:val="Normal"/>
    <w:link w:val="BodyTextChar"/>
    <w:qFormat/>
    <w:rsid w:val="00CE3F4B"/>
    <w:pPr>
      <w:spacing w:before="100" w:after="200"/>
    </w:pPr>
  </w:style>
  <w:style w:type="character" w:customStyle="1" w:styleId="BodyTextChar">
    <w:name w:val="Body Text Char"/>
    <w:basedOn w:val="DefaultParagraphFont"/>
    <w:link w:val="BodyText"/>
    <w:rsid w:val="00CE3F4B"/>
  </w:style>
  <w:style w:type="paragraph" w:styleId="ListBullet">
    <w:name w:val="List Bullet"/>
    <w:basedOn w:val="BodyText"/>
    <w:uiPriority w:val="1"/>
    <w:qFormat/>
    <w:rsid w:val="00390299"/>
    <w:pPr>
      <w:numPr>
        <w:numId w:val="28"/>
      </w:numPr>
      <w:spacing w:after="100"/>
    </w:pPr>
    <w:rPr>
      <w:shd w:val="clear" w:color="auto" w:fill="FFFFFF"/>
    </w:rPr>
  </w:style>
  <w:style w:type="paragraph" w:styleId="ListBullet2">
    <w:name w:val="List Bullet 2"/>
    <w:basedOn w:val="ListBullet"/>
    <w:uiPriority w:val="1"/>
    <w:qFormat/>
    <w:rsid w:val="004B545B"/>
    <w:pPr>
      <w:numPr>
        <w:ilvl w:val="1"/>
      </w:numPr>
    </w:pPr>
  </w:style>
  <w:style w:type="paragraph" w:styleId="ListBullet3">
    <w:name w:val="List Bullet 3"/>
    <w:basedOn w:val="ListBullet2"/>
    <w:uiPriority w:val="1"/>
    <w:qFormat/>
    <w:rsid w:val="004B545B"/>
    <w:pPr>
      <w:numPr>
        <w:ilvl w:val="2"/>
      </w:numPr>
    </w:pPr>
  </w:style>
  <w:style w:type="paragraph" w:styleId="ListNumber">
    <w:name w:val="List Number"/>
    <w:basedOn w:val="BodyText"/>
    <w:uiPriority w:val="1"/>
    <w:qFormat/>
    <w:rsid w:val="004B545B"/>
    <w:pPr>
      <w:numPr>
        <w:numId w:val="21"/>
      </w:numPr>
      <w:spacing w:after="100"/>
    </w:pPr>
  </w:style>
  <w:style w:type="paragraph" w:styleId="ListNumber2">
    <w:name w:val="List Number 2"/>
    <w:basedOn w:val="ListNumber"/>
    <w:uiPriority w:val="1"/>
    <w:qFormat/>
    <w:rsid w:val="004B545B"/>
    <w:pPr>
      <w:numPr>
        <w:ilvl w:val="1"/>
      </w:numPr>
    </w:pPr>
  </w:style>
  <w:style w:type="paragraph" w:styleId="ListNumber3">
    <w:name w:val="List Number 3"/>
    <w:basedOn w:val="ListNumber2"/>
    <w:uiPriority w:val="1"/>
    <w:qFormat/>
    <w:rsid w:val="004B545B"/>
    <w:pPr>
      <w:numPr>
        <w:ilvl w:val="2"/>
      </w:numPr>
      <w:ind w:left="1020" w:hanging="340"/>
    </w:pPr>
  </w:style>
  <w:style w:type="character" w:styleId="PlaceholderText">
    <w:name w:val="Placeholder Text"/>
    <w:basedOn w:val="DefaultParagraphFont"/>
    <w:uiPriority w:val="99"/>
    <w:semiHidden/>
    <w:rsid w:val="009A2FBA"/>
    <w:rPr>
      <w:color w:val="808080"/>
    </w:rPr>
  </w:style>
  <w:style w:type="paragraph" w:customStyle="1" w:styleId="Spacebeforetable">
    <w:name w:val="Space before table"/>
    <w:basedOn w:val="Normal"/>
    <w:qFormat/>
    <w:rsid w:val="001207DA"/>
    <w:pPr>
      <w:spacing w:after="60"/>
    </w:pPr>
  </w:style>
  <w:style w:type="paragraph" w:styleId="Title">
    <w:name w:val="Title"/>
    <w:basedOn w:val="Normal"/>
    <w:next w:val="Normal"/>
    <w:link w:val="TitleChar"/>
    <w:rsid w:val="007207EC"/>
    <w:pPr>
      <w:spacing w:before="1060" w:after="440" w:line="192" w:lineRule="auto"/>
      <w:ind w:left="227"/>
      <w:contextualSpacing/>
    </w:pPr>
    <w:rPr>
      <w:rFonts w:asciiTheme="majorHAnsi" w:eastAsiaTheme="majorEastAsia" w:hAnsiTheme="majorHAnsi" w:cstheme="majorBidi"/>
      <w:b/>
      <w:caps/>
      <w:color w:val="003263" w:themeColor="text2"/>
      <w:spacing w:val="18"/>
      <w:kern w:val="28"/>
      <w:sz w:val="52"/>
      <w:szCs w:val="56"/>
    </w:rPr>
  </w:style>
  <w:style w:type="character" w:customStyle="1" w:styleId="TitleChar">
    <w:name w:val="Title Char"/>
    <w:basedOn w:val="DefaultParagraphFont"/>
    <w:link w:val="Title"/>
    <w:rsid w:val="007207EC"/>
    <w:rPr>
      <w:rFonts w:asciiTheme="majorHAnsi" w:eastAsiaTheme="majorEastAsia" w:hAnsiTheme="majorHAnsi" w:cstheme="majorBidi"/>
      <w:b/>
      <w:caps/>
      <w:color w:val="003263" w:themeColor="text2"/>
      <w:spacing w:val="18"/>
      <w:kern w:val="28"/>
      <w:sz w:val="52"/>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231F2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BFE4FF" w:themeFill="accent3" w:themeFillTint="33"/>
    </w:tcPr>
    <w:tblStylePr w:type="firstRow">
      <w:rPr>
        <w:b/>
        <w:bCs/>
      </w:rPr>
      <w:tblPr/>
      <w:tcPr>
        <w:shd w:val="clear" w:color="auto" w:fill="7FC9FF" w:themeFill="accent3" w:themeFillTint="66"/>
      </w:tcPr>
    </w:tblStylePr>
    <w:tblStylePr w:type="lastRow">
      <w:rPr>
        <w:b/>
        <w:bCs/>
        <w:color w:val="231F20" w:themeColor="text1"/>
      </w:rPr>
      <w:tblPr/>
      <w:tcPr>
        <w:shd w:val="clear" w:color="auto" w:fill="7FC9FF" w:themeFill="accent3" w:themeFillTint="66"/>
      </w:tcPr>
    </w:tblStylePr>
    <w:tblStylePr w:type="firstCol">
      <w:rPr>
        <w:color w:val="FFFFFF" w:themeColor="background1"/>
      </w:rPr>
      <w:tblPr/>
      <w:tcPr>
        <w:shd w:val="clear" w:color="auto" w:fill="00538F" w:themeFill="accent3" w:themeFillShade="BF"/>
      </w:tcPr>
    </w:tblStylePr>
    <w:tblStylePr w:type="lastCol">
      <w:rPr>
        <w:color w:val="FFFFFF" w:themeColor="background1"/>
      </w:rPr>
      <w:tblPr/>
      <w:tcPr>
        <w:shd w:val="clear" w:color="auto" w:fill="00538F" w:themeFill="accent3" w:themeFillShade="BF"/>
      </w:tc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9F5DB" w:themeFill="accent4" w:themeFillTint="33"/>
    </w:tcPr>
    <w:tblStylePr w:type="firstRow">
      <w:rPr>
        <w:b/>
        <w:bCs/>
      </w:rPr>
      <w:tblPr/>
      <w:tcPr>
        <w:shd w:val="clear" w:color="auto" w:fill="D3ECB8" w:themeFill="accent4" w:themeFillTint="66"/>
      </w:tcPr>
    </w:tblStylePr>
    <w:tblStylePr w:type="lastRow">
      <w:rPr>
        <w:b/>
        <w:bCs/>
        <w:color w:val="231F20" w:themeColor="text1"/>
      </w:rPr>
      <w:tblPr/>
      <w:tcPr>
        <w:shd w:val="clear" w:color="auto" w:fill="D3ECB8" w:themeFill="accent4" w:themeFillTint="66"/>
      </w:tcPr>
    </w:tblStylePr>
    <w:tblStylePr w:type="firstCol">
      <w:rPr>
        <w:color w:val="FFFFFF" w:themeColor="background1"/>
      </w:rPr>
      <w:tblPr/>
      <w:tcPr>
        <w:shd w:val="clear" w:color="auto" w:fill="6DA92D" w:themeFill="accent4" w:themeFillShade="BF"/>
      </w:tcPr>
    </w:tblStylePr>
    <w:tblStylePr w:type="lastCol">
      <w:rPr>
        <w:color w:val="FFFFFF" w:themeColor="background1"/>
      </w:rPr>
      <w:tblPr/>
      <w:tcPr>
        <w:shd w:val="clear" w:color="auto" w:fill="6DA92D" w:themeFill="accent4" w:themeFillShade="BF"/>
      </w:tc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DE9D9" w:themeFill="accent5" w:themeFillTint="33"/>
    </w:tcPr>
    <w:tblStylePr w:type="firstRow">
      <w:rPr>
        <w:b/>
        <w:bCs/>
      </w:rPr>
      <w:tblPr/>
      <w:tcPr>
        <w:shd w:val="clear" w:color="auto" w:fill="FBD4B4" w:themeFill="accent5" w:themeFillTint="66"/>
      </w:tcPr>
    </w:tblStylePr>
    <w:tblStylePr w:type="lastRow">
      <w:rPr>
        <w:b/>
        <w:bCs/>
        <w:color w:val="231F20" w:themeColor="text1"/>
      </w:rPr>
      <w:tblPr/>
      <w:tcPr>
        <w:shd w:val="clear" w:color="auto" w:fill="FBD4B4" w:themeFill="accent5" w:themeFillTint="66"/>
      </w:tcPr>
    </w:tblStylePr>
    <w:tblStylePr w:type="firstCol">
      <w:rPr>
        <w:color w:val="FFFFFF" w:themeColor="background1"/>
      </w:rPr>
      <w:tblPr/>
      <w:tcPr>
        <w:shd w:val="clear" w:color="auto" w:fill="E36C0A" w:themeFill="accent5" w:themeFillShade="BF"/>
      </w:tcPr>
    </w:tblStylePr>
    <w:tblStylePr w:type="lastCol">
      <w:rPr>
        <w:color w:val="FFFFFF" w:themeColor="background1"/>
      </w:rPr>
      <w:tblPr/>
      <w:tcPr>
        <w:shd w:val="clear" w:color="auto" w:fill="E36C0A" w:themeFill="accent5" w:themeFillShade="BF"/>
      </w:tc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2CC" w:themeFill="accent6" w:themeFillTint="33"/>
    </w:tcPr>
    <w:tblStylePr w:type="firstRow">
      <w:rPr>
        <w:b/>
        <w:bCs/>
      </w:rPr>
      <w:tblPr/>
      <w:tcPr>
        <w:shd w:val="clear" w:color="auto" w:fill="FFE599" w:themeFill="accent6" w:themeFillTint="66"/>
      </w:tcPr>
    </w:tblStylePr>
    <w:tblStylePr w:type="lastRow">
      <w:rPr>
        <w:b/>
        <w:bCs/>
        <w:color w:val="231F20" w:themeColor="text1"/>
      </w:rPr>
      <w:tblPr/>
      <w:tcPr>
        <w:shd w:val="clear" w:color="auto" w:fill="FFE599" w:themeFill="accent6" w:themeFillTint="66"/>
      </w:tcPr>
    </w:tblStylePr>
    <w:tblStylePr w:type="firstCol">
      <w:rPr>
        <w:color w:val="FFFFFF" w:themeColor="background1"/>
      </w:rPr>
      <w:tblPr/>
      <w:tcPr>
        <w:shd w:val="clear" w:color="auto" w:fill="BF8F00" w:themeFill="accent6" w:themeFillShade="BF"/>
      </w:tcPr>
    </w:tblStylePr>
    <w:tblStylePr w:type="lastCol">
      <w:rPr>
        <w:color w:val="FFFFFF" w:themeColor="background1"/>
      </w:rPr>
      <w:tblPr/>
      <w:tcPr>
        <w:shd w:val="clear" w:color="auto" w:fill="BF8F00" w:themeFill="accent6" w:themeFillShade="BF"/>
      </w:tc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DFF1FF" w:themeFill="accent3" w:themeFillTint="19"/>
    </w:tcPr>
    <w:tblStylePr w:type="firstRow">
      <w:rPr>
        <w:b/>
        <w:bCs/>
        <w:color w:val="FFFFFF" w:themeColor="background1"/>
      </w:rPr>
      <w:tblPr/>
      <w:tcPr>
        <w:tcBorders>
          <w:bottom w:val="single" w:sz="12" w:space="0" w:color="FFFFFF" w:themeColor="background1"/>
        </w:tcBorders>
        <w:shd w:val="clear" w:color="auto" w:fill="74B530" w:themeFill="accent4" w:themeFillShade="CC"/>
      </w:tcPr>
    </w:tblStylePr>
    <w:tblStylePr w:type="lastRow">
      <w:rPr>
        <w:b/>
        <w:bCs/>
        <w:color w:val="74B530"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3" w:themeFillTint="3F"/>
      </w:tcPr>
    </w:tblStylePr>
    <w:tblStylePr w:type="band1Horz">
      <w:tblPr/>
      <w:tcPr>
        <w:shd w:val="clear" w:color="auto" w:fill="BFE4FF"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F4FAED" w:themeFill="accent4" w:themeFillTint="19"/>
    </w:tcPr>
    <w:tblStylePr w:type="firstRow">
      <w:rPr>
        <w:b/>
        <w:bCs/>
        <w:color w:val="FFFFFF" w:themeColor="background1"/>
      </w:rPr>
      <w:tblPr/>
      <w:tcPr>
        <w:tcBorders>
          <w:bottom w:val="single" w:sz="12" w:space="0" w:color="FFFFFF" w:themeColor="background1"/>
        </w:tcBorders>
        <w:shd w:val="clear" w:color="auto" w:fill="005899" w:themeFill="accent3" w:themeFillShade="CC"/>
      </w:tcPr>
    </w:tblStylePr>
    <w:tblStylePr w:type="lastRow">
      <w:rPr>
        <w:b/>
        <w:bCs/>
        <w:color w:val="005899"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3D3" w:themeFill="accent4" w:themeFillTint="3F"/>
      </w:tcPr>
    </w:tblStylePr>
    <w:tblStylePr w:type="band1Horz">
      <w:tblPr/>
      <w:tcPr>
        <w:shd w:val="clear" w:color="auto" w:fill="E9F5DB"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EF4EC" w:themeFill="accent5" w:themeFillTint="19"/>
    </w:tcPr>
    <w:tblStylePr w:type="firstRow">
      <w:rPr>
        <w:b/>
        <w:bCs/>
        <w:color w:val="FFFFFF" w:themeColor="background1"/>
      </w:rPr>
      <w:tblPr/>
      <w:tcPr>
        <w:tcBorders>
          <w:bottom w:val="single" w:sz="12" w:space="0" w:color="FFFFFF" w:themeColor="background1"/>
        </w:tcBorders>
        <w:shd w:val="clear" w:color="auto" w:fill="CC9900" w:themeFill="accent6" w:themeFillShade="CC"/>
      </w:tcPr>
    </w:tblStylePr>
    <w:tblStylePr w:type="lastRow">
      <w:rPr>
        <w:b/>
        <w:bCs/>
        <w:color w:val="CC9900"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5" w:themeFillTint="3F"/>
      </w:tcPr>
    </w:tblStylePr>
    <w:tblStylePr w:type="band1Horz">
      <w:tblPr/>
      <w:tcPr>
        <w:shd w:val="clear" w:color="auto" w:fill="FDE9D9"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8E6" w:themeFill="accent6" w:themeFillTint="19"/>
    </w:tcPr>
    <w:tblStylePr w:type="firstRow">
      <w:rPr>
        <w:b/>
        <w:bCs/>
        <w:color w:val="FFFFFF" w:themeColor="background1"/>
      </w:rPr>
      <w:tblPr/>
      <w:tcPr>
        <w:tcBorders>
          <w:bottom w:val="single" w:sz="12" w:space="0" w:color="FFFFFF" w:themeColor="background1"/>
        </w:tcBorders>
        <w:shd w:val="clear" w:color="auto" w:fill="F2730A" w:themeFill="accent5" w:themeFillShade="CC"/>
      </w:tcPr>
    </w:tblStylePr>
    <w:tblStylePr w:type="lastRow">
      <w:rPr>
        <w:b/>
        <w:bCs/>
        <w:color w:val="F2730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6" w:themeFillTint="3F"/>
      </w:tcPr>
    </w:tblStylePr>
    <w:tblStylePr w:type="band1Horz">
      <w:tblPr/>
      <w:tcPr>
        <w:shd w:val="clear" w:color="auto" w:fill="FFF2CC"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92D050" w:themeColor="accent4"/>
        <w:left w:val="single" w:sz="4" w:space="0" w:color="0070C0" w:themeColor="accent3"/>
        <w:bottom w:val="single" w:sz="4" w:space="0" w:color="0070C0" w:themeColor="accent3"/>
        <w:right w:val="single" w:sz="4" w:space="0" w:color="0070C0" w:themeColor="accent3"/>
        <w:insideH w:val="single" w:sz="4" w:space="0" w:color="FFFFFF" w:themeColor="background1"/>
        <w:insideV w:val="single" w:sz="4" w:space="0" w:color="FFFFFF" w:themeColor="background1"/>
      </w:tblBorders>
    </w:tblPr>
    <w:tcPr>
      <w:shd w:val="clear" w:color="auto" w:fill="DFF1FF" w:themeFill="accent3" w:themeFillTint="19"/>
    </w:tcPr>
    <w:tblStylePr w:type="firstRow">
      <w:rPr>
        <w:b/>
        <w:bCs/>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3" w:themeFillShade="99"/>
      </w:tcPr>
    </w:tblStylePr>
    <w:tblStylePr w:type="firstCol">
      <w:rPr>
        <w:color w:val="FFFFFF" w:themeColor="background1"/>
      </w:rPr>
      <w:tblPr/>
      <w:tcPr>
        <w:tcBorders>
          <w:top w:val="nil"/>
          <w:left w:val="nil"/>
          <w:bottom w:val="nil"/>
          <w:right w:val="nil"/>
          <w:insideH w:val="single" w:sz="4" w:space="0" w:color="004273" w:themeColor="accent3" w:themeShade="99"/>
          <w:insideV w:val="nil"/>
        </w:tcBorders>
        <w:shd w:val="clear" w:color="auto" w:fill="00427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3" w:themeFillShade="99"/>
      </w:tcPr>
    </w:tblStylePr>
    <w:tblStylePr w:type="band1Vert">
      <w:tblPr/>
      <w:tcPr>
        <w:shd w:val="clear" w:color="auto" w:fill="7FC9FF" w:themeFill="accent3" w:themeFillTint="66"/>
      </w:tcPr>
    </w:tblStylePr>
    <w:tblStylePr w:type="band1Horz">
      <w:tblPr/>
      <w:tcPr>
        <w:shd w:val="clear" w:color="auto" w:fill="60BCFF"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0070C0" w:themeColor="accent3"/>
        <w:left w:val="single" w:sz="4" w:space="0" w:color="92D050" w:themeColor="accent4"/>
        <w:bottom w:val="single" w:sz="4" w:space="0" w:color="92D050" w:themeColor="accent4"/>
        <w:right w:val="single" w:sz="4" w:space="0" w:color="92D050" w:themeColor="accent4"/>
        <w:insideH w:val="single" w:sz="4" w:space="0" w:color="FFFFFF" w:themeColor="background1"/>
        <w:insideV w:val="single" w:sz="4" w:space="0" w:color="FFFFFF" w:themeColor="background1"/>
      </w:tblBorders>
    </w:tblPr>
    <w:tcPr>
      <w:shd w:val="clear" w:color="auto" w:fill="F4FAED" w:themeFill="accent4" w:themeFillTint="19"/>
    </w:tcPr>
    <w:tblStylePr w:type="firstRow">
      <w:rPr>
        <w:b/>
        <w:bCs/>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8824" w:themeFill="accent4" w:themeFillShade="99"/>
      </w:tcPr>
    </w:tblStylePr>
    <w:tblStylePr w:type="firstCol">
      <w:rPr>
        <w:color w:val="FFFFFF" w:themeColor="background1"/>
      </w:rPr>
      <w:tblPr/>
      <w:tcPr>
        <w:tcBorders>
          <w:top w:val="nil"/>
          <w:left w:val="nil"/>
          <w:bottom w:val="nil"/>
          <w:right w:val="nil"/>
          <w:insideH w:val="single" w:sz="4" w:space="0" w:color="578824" w:themeColor="accent4" w:themeShade="99"/>
          <w:insideV w:val="nil"/>
        </w:tcBorders>
        <w:shd w:val="clear" w:color="auto" w:fill="57882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78824" w:themeFill="accent4" w:themeFillShade="99"/>
      </w:tcPr>
    </w:tblStylePr>
    <w:tblStylePr w:type="band1Vert">
      <w:tblPr/>
      <w:tcPr>
        <w:shd w:val="clear" w:color="auto" w:fill="D3ECB8" w:themeFill="accent4" w:themeFillTint="66"/>
      </w:tcPr>
    </w:tblStylePr>
    <w:tblStylePr w:type="band1Horz">
      <w:tblPr/>
      <w:tcPr>
        <w:shd w:val="clear" w:color="auto" w:fill="C8E7A7"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000" w:themeColor="accent6"/>
        <w:left w:val="single" w:sz="4" w:space="0" w:color="F79646" w:themeColor="accent5"/>
        <w:bottom w:val="single" w:sz="4" w:space="0" w:color="F79646" w:themeColor="accent5"/>
        <w:right w:val="single" w:sz="4" w:space="0" w:color="F79646" w:themeColor="accent5"/>
        <w:insideH w:val="single" w:sz="4" w:space="0" w:color="FFFFFF" w:themeColor="background1"/>
        <w:insideV w:val="single" w:sz="4" w:space="0" w:color="FFFFFF" w:themeColor="background1"/>
      </w:tblBorders>
    </w:tblPr>
    <w:tcPr>
      <w:shd w:val="clear" w:color="auto" w:fill="FEF4EC" w:themeFill="accent5" w:themeFillTint="19"/>
    </w:tcPr>
    <w:tblStylePr w:type="firstRow">
      <w:rPr>
        <w:b/>
        <w:bCs/>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5" w:themeFillShade="99"/>
      </w:tcPr>
    </w:tblStylePr>
    <w:tblStylePr w:type="firstCol">
      <w:rPr>
        <w:color w:val="FFFFFF" w:themeColor="background1"/>
      </w:rPr>
      <w:tblPr/>
      <w:tcPr>
        <w:tcBorders>
          <w:top w:val="nil"/>
          <w:left w:val="nil"/>
          <w:bottom w:val="nil"/>
          <w:right w:val="nil"/>
          <w:insideH w:val="single" w:sz="4" w:space="0" w:color="B65608" w:themeColor="accent5" w:themeShade="99"/>
          <w:insideV w:val="nil"/>
        </w:tcBorders>
        <w:shd w:val="clear" w:color="auto" w:fill="B656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5" w:themeFillShade="99"/>
      </w:tcPr>
    </w:tblStylePr>
    <w:tblStylePr w:type="band1Vert">
      <w:tblPr/>
      <w:tcPr>
        <w:shd w:val="clear" w:color="auto" w:fill="FBD4B4" w:themeFill="accent5" w:themeFillTint="66"/>
      </w:tcPr>
    </w:tblStylePr>
    <w:tblStylePr w:type="band1Horz">
      <w:tblPr/>
      <w:tcPr>
        <w:shd w:val="clear" w:color="auto" w:fill="FBCAA2"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F79646" w:themeColor="accent5"/>
        <w:left w:val="single" w:sz="4" w:space="0" w:color="FFC000" w:themeColor="accent6"/>
        <w:bottom w:val="single" w:sz="4" w:space="0" w:color="FFC000" w:themeColor="accent6"/>
        <w:right w:val="single" w:sz="4" w:space="0" w:color="FFC000" w:themeColor="accent6"/>
        <w:insideH w:val="single" w:sz="4" w:space="0" w:color="FFFFFF" w:themeColor="background1"/>
        <w:insideV w:val="single" w:sz="4" w:space="0" w:color="FFFFFF" w:themeColor="background1"/>
      </w:tblBorders>
    </w:tblPr>
    <w:tcPr>
      <w:shd w:val="clear" w:color="auto" w:fill="FFF8E6" w:themeFill="accent6" w:themeFillTint="19"/>
    </w:tcPr>
    <w:tblStylePr w:type="firstRow">
      <w:rPr>
        <w:b/>
        <w:bCs/>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6" w:themeFillShade="99"/>
      </w:tcPr>
    </w:tblStylePr>
    <w:tblStylePr w:type="firstCol">
      <w:rPr>
        <w:color w:val="FFFFFF" w:themeColor="background1"/>
      </w:rPr>
      <w:tblPr/>
      <w:tcPr>
        <w:tcBorders>
          <w:top w:val="nil"/>
          <w:left w:val="nil"/>
          <w:bottom w:val="nil"/>
          <w:right w:val="nil"/>
          <w:insideH w:val="single" w:sz="4" w:space="0" w:color="997300" w:themeColor="accent6" w:themeShade="99"/>
          <w:insideV w:val="nil"/>
        </w:tcBorders>
        <w:shd w:val="clear" w:color="auto" w:fill="9973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6" w:themeFillShade="99"/>
      </w:tcPr>
    </w:tblStylePr>
    <w:tblStylePr w:type="band1Vert">
      <w:tblPr/>
      <w:tcPr>
        <w:shd w:val="clear" w:color="auto" w:fill="FFE599" w:themeFill="accent6" w:themeFillTint="66"/>
      </w:tcPr>
    </w:tblStylePr>
    <w:tblStylePr w:type="band1Horz">
      <w:tblPr/>
      <w:tcPr>
        <w:shd w:val="clear" w:color="auto" w:fill="FFDF8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0070C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3" w:themeFillShade="BF"/>
      </w:tcPr>
    </w:tblStylePr>
    <w:tblStylePr w:type="band1Vert">
      <w:tblPr/>
      <w:tcPr>
        <w:tcBorders>
          <w:top w:val="nil"/>
          <w:left w:val="nil"/>
          <w:bottom w:val="nil"/>
          <w:right w:val="nil"/>
          <w:insideH w:val="nil"/>
          <w:insideV w:val="nil"/>
        </w:tcBorders>
        <w:shd w:val="clear" w:color="auto" w:fill="00538F" w:themeFill="accent3" w:themeFillShade="BF"/>
      </w:tcPr>
    </w:tblStylePr>
    <w:tblStylePr w:type="band1Horz">
      <w:tblPr/>
      <w:tcPr>
        <w:tcBorders>
          <w:top w:val="nil"/>
          <w:left w:val="nil"/>
          <w:bottom w:val="nil"/>
          <w:right w:val="nil"/>
          <w:insideH w:val="nil"/>
          <w:insideV w:val="nil"/>
        </w:tcBorders>
        <w:shd w:val="clear" w:color="auto" w:fill="00538F"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92D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8701E"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DA92D"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DA92D" w:themeFill="accent4" w:themeFillShade="BF"/>
      </w:tcPr>
    </w:tblStylePr>
    <w:tblStylePr w:type="band1Vert">
      <w:tblPr/>
      <w:tcPr>
        <w:tcBorders>
          <w:top w:val="nil"/>
          <w:left w:val="nil"/>
          <w:bottom w:val="nil"/>
          <w:right w:val="nil"/>
          <w:insideH w:val="nil"/>
          <w:insideV w:val="nil"/>
        </w:tcBorders>
        <w:shd w:val="clear" w:color="auto" w:fill="6DA92D" w:themeFill="accent4" w:themeFillShade="BF"/>
      </w:tcPr>
    </w:tblStylePr>
    <w:tblStylePr w:type="band1Horz">
      <w:tblPr/>
      <w:tcPr>
        <w:tcBorders>
          <w:top w:val="nil"/>
          <w:left w:val="nil"/>
          <w:bottom w:val="nil"/>
          <w:right w:val="nil"/>
          <w:insideH w:val="nil"/>
          <w:insideV w:val="nil"/>
        </w:tcBorders>
        <w:shd w:val="clear" w:color="auto" w:fill="6DA92D"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F7964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5" w:themeFillShade="BF"/>
      </w:tcPr>
    </w:tblStylePr>
    <w:tblStylePr w:type="band1Vert">
      <w:tblPr/>
      <w:tcPr>
        <w:tcBorders>
          <w:top w:val="nil"/>
          <w:left w:val="nil"/>
          <w:bottom w:val="nil"/>
          <w:right w:val="nil"/>
          <w:insideH w:val="nil"/>
          <w:insideV w:val="nil"/>
        </w:tcBorders>
        <w:shd w:val="clear" w:color="auto" w:fill="E36C0A" w:themeFill="accent5" w:themeFillShade="BF"/>
      </w:tcPr>
    </w:tblStylePr>
    <w:tblStylePr w:type="band1Horz">
      <w:tblPr/>
      <w:tcPr>
        <w:tcBorders>
          <w:top w:val="nil"/>
          <w:left w:val="nil"/>
          <w:bottom w:val="nil"/>
          <w:right w:val="nil"/>
          <w:insideH w:val="nil"/>
          <w:insideV w:val="nil"/>
        </w:tcBorders>
        <w:shd w:val="clear" w:color="auto" w:fill="E36C0A"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6" w:themeFillShade="BF"/>
      </w:tcPr>
    </w:tblStylePr>
    <w:tblStylePr w:type="band1Vert">
      <w:tblPr/>
      <w:tcPr>
        <w:tcBorders>
          <w:top w:val="nil"/>
          <w:left w:val="nil"/>
          <w:bottom w:val="nil"/>
          <w:right w:val="nil"/>
          <w:insideH w:val="nil"/>
          <w:insideV w:val="nil"/>
        </w:tcBorders>
        <w:shd w:val="clear" w:color="auto" w:fill="BF8F00" w:themeFill="accent6" w:themeFillShade="BF"/>
      </w:tcPr>
    </w:tblStylePr>
    <w:tblStylePr w:type="band1Horz">
      <w:tblPr/>
      <w:tcPr>
        <w:tcBorders>
          <w:top w:val="nil"/>
          <w:left w:val="nil"/>
          <w:bottom w:val="nil"/>
          <w:right w:val="nil"/>
          <w:insideH w:val="nil"/>
          <w:insideV w:val="nil"/>
        </w:tcBorders>
        <w:shd w:val="clear" w:color="auto" w:fill="BF8F00"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7FC9FF" w:themeColor="accent3" w:themeTint="66"/>
        <w:left w:val="single" w:sz="4" w:space="0" w:color="7FC9FF" w:themeColor="accent3" w:themeTint="66"/>
        <w:bottom w:val="single" w:sz="4" w:space="0" w:color="7FC9FF" w:themeColor="accent3" w:themeTint="66"/>
        <w:right w:val="single" w:sz="4" w:space="0" w:color="7FC9FF" w:themeColor="accent3" w:themeTint="66"/>
        <w:insideH w:val="single" w:sz="4" w:space="0" w:color="7FC9FF" w:themeColor="accent3" w:themeTint="66"/>
        <w:insideV w:val="single" w:sz="4" w:space="0" w:color="7FC9FF" w:themeColor="accent3" w:themeTint="66"/>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2" w:space="0" w:color="40AEF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D3ECB8" w:themeColor="accent4" w:themeTint="66"/>
        <w:left w:val="single" w:sz="4" w:space="0" w:color="D3ECB8" w:themeColor="accent4" w:themeTint="66"/>
        <w:bottom w:val="single" w:sz="4" w:space="0" w:color="D3ECB8" w:themeColor="accent4" w:themeTint="66"/>
        <w:right w:val="single" w:sz="4" w:space="0" w:color="D3ECB8" w:themeColor="accent4" w:themeTint="66"/>
        <w:insideH w:val="single" w:sz="4" w:space="0" w:color="D3ECB8" w:themeColor="accent4" w:themeTint="66"/>
        <w:insideV w:val="single" w:sz="4" w:space="0" w:color="D3ECB8" w:themeColor="accent4" w:themeTint="66"/>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2" w:space="0" w:color="BDE29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FBD4B4" w:themeColor="accent5" w:themeTint="66"/>
        <w:left w:val="single" w:sz="4" w:space="0" w:color="FBD4B4" w:themeColor="accent5" w:themeTint="66"/>
        <w:bottom w:val="single" w:sz="4" w:space="0" w:color="FBD4B4" w:themeColor="accent5" w:themeTint="66"/>
        <w:right w:val="single" w:sz="4" w:space="0" w:color="FBD4B4" w:themeColor="accent5" w:themeTint="66"/>
        <w:insideH w:val="single" w:sz="4" w:space="0" w:color="FBD4B4" w:themeColor="accent5" w:themeTint="66"/>
        <w:insideV w:val="single" w:sz="4" w:space="0" w:color="FBD4B4" w:themeColor="accent5" w:themeTint="66"/>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2" w:space="0" w:color="FABF8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599" w:themeColor="accent6" w:themeTint="66"/>
        <w:left w:val="single" w:sz="4" w:space="0" w:color="FFE599" w:themeColor="accent6" w:themeTint="66"/>
        <w:bottom w:val="single" w:sz="4" w:space="0" w:color="FFE599" w:themeColor="accent6" w:themeTint="66"/>
        <w:right w:val="single" w:sz="4" w:space="0" w:color="FFE599" w:themeColor="accent6" w:themeTint="66"/>
        <w:insideH w:val="single" w:sz="4" w:space="0" w:color="FFE599" w:themeColor="accent6" w:themeTint="66"/>
        <w:insideV w:val="single" w:sz="4" w:space="0" w:color="FFE599" w:themeColor="accent6" w:themeTint="66"/>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2" w:space="0" w:color="FFD96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40AEFF" w:themeColor="accent3" w:themeTint="99"/>
        <w:bottom w:val="single" w:sz="2" w:space="0" w:color="40AEFF" w:themeColor="accent3" w:themeTint="99"/>
        <w:insideH w:val="single" w:sz="2" w:space="0" w:color="40AEFF" w:themeColor="accent3" w:themeTint="99"/>
        <w:insideV w:val="single" w:sz="2" w:space="0" w:color="40AEFF" w:themeColor="accent3" w:themeTint="99"/>
      </w:tblBorders>
    </w:tblPr>
    <w:tblStylePr w:type="firstRow">
      <w:rPr>
        <w:b/>
        <w:bCs/>
      </w:rPr>
      <w:tblPr/>
      <w:tcPr>
        <w:tcBorders>
          <w:top w:val="nil"/>
          <w:bottom w:val="single" w:sz="12" w:space="0" w:color="40AEFF" w:themeColor="accent3" w:themeTint="99"/>
          <w:insideH w:val="nil"/>
          <w:insideV w:val="nil"/>
        </w:tcBorders>
        <w:shd w:val="clear" w:color="auto" w:fill="FFFFFF" w:themeFill="background1"/>
      </w:tcPr>
    </w:tblStylePr>
    <w:tblStylePr w:type="lastRow">
      <w:rPr>
        <w:b/>
        <w:bCs/>
      </w:rPr>
      <w:tblPr/>
      <w:tcPr>
        <w:tcBorders>
          <w:top w:val="double" w:sz="2" w:space="0" w:color="40AEF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BDE295" w:themeColor="accent4" w:themeTint="99"/>
        <w:bottom w:val="single" w:sz="2" w:space="0" w:color="BDE295" w:themeColor="accent4" w:themeTint="99"/>
        <w:insideH w:val="single" w:sz="2" w:space="0" w:color="BDE295" w:themeColor="accent4" w:themeTint="99"/>
        <w:insideV w:val="single" w:sz="2" w:space="0" w:color="BDE295" w:themeColor="accent4" w:themeTint="99"/>
      </w:tblBorders>
    </w:tblPr>
    <w:tblStylePr w:type="firstRow">
      <w:rPr>
        <w:b/>
        <w:bCs/>
      </w:rPr>
      <w:tblPr/>
      <w:tcPr>
        <w:tcBorders>
          <w:top w:val="nil"/>
          <w:bottom w:val="single" w:sz="12" w:space="0" w:color="BDE295" w:themeColor="accent4" w:themeTint="99"/>
          <w:insideH w:val="nil"/>
          <w:insideV w:val="nil"/>
        </w:tcBorders>
        <w:shd w:val="clear" w:color="auto" w:fill="FFFFFF" w:themeFill="background1"/>
      </w:tcPr>
    </w:tblStylePr>
    <w:tblStylePr w:type="lastRow">
      <w:rPr>
        <w:b/>
        <w:bCs/>
      </w:rPr>
      <w:tblPr/>
      <w:tcPr>
        <w:tcBorders>
          <w:top w:val="double" w:sz="2" w:space="0" w:color="BDE29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FABF8F" w:themeColor="accent5" w:themeTint="99"/>
        <w:bottom w:val="single" w:sz="2" w:space="0" w:color="FABF8F" w:themeColor="accent5" w:themeTint="99"/>
        <w:insideH w:val="single" w:sz="2" w:space="0" w:color="FABF8F" w:themeColor="accent5" w:themeTint="99"/>
        <w:insideV w:val="single" w:sz="2" w:space="0" w:color="FABF8F" w:themeColor="accent5" w:themeTint="99"/>
      </w:tblBorders>
    </w:tblPr>
    <w:tblStylePr w:type="firstRow">
      <w:rPr>
        <w:b/>
        <w:bCs/>
      </w:rPr>
      <w:tblPr/>
      <w:tcPr>
        <w:tcBorders>
          <w:top w:val="nil"/>
          <w:bottom w:val="single" w:sz="12" w:space="0" w:color="FABF8F" w:themeColor="accent5" w:themeTint="99"/>
          <w:insideH w:val="nil"/>
          <w:insideV w:val="nil"/>
        </w:tcBorders>
        <w:shd w:val="clear" w:color="auto" w:fill="FFFFFF" w:themeFill="background1"/>
      </w:tcPr>
    </w:tblStylePr>
    <w:tblStylePr w:type="lastRow">
      <w:rPr>
        <w:b/>
        <w:bCs/>
      </w:rPr>
      <w:tblPr/>
      <w:tcPr>
        <w:tcBorders>
          <w:top w:val="double" w:sz="2" w:space="0" w:color="FABF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D966" w:themeColor="accent6" w:themeTint="99"/>
        <w:bottom w:val="single" w:sz="2" w:space="0" w:color="FFD966" w:themeColor="accent6" w:themeTint="99"/>
        <w:insideH w:val="single" w:sz="2" w:space="0" w:color="FFD966" w:themeColor="accent6" w:themeTint="99"/>
        <w:insideV w:val="single" w:sz="2" w:space="0" w:color="FFD966" w:themeColor="accent6" w:themeTint="99"/>
      </w:tblBorders>
    </w:tblPr>
    <w:tblStylePr w:type="firstRow">
      <w:rPr>
        <w:b/>
        <w:bCs/>
      </w:rPr>
      <w:tblPr/>
      <w:tcPr>
        <w:tcBorders>
          <w:top w:val="nil"/>
          <w:bottom w:val="single" w:sz="12" w:space="0" w:color="FFD966" w:themeColor="accent6" w:themeTint="99"/>
          <w:insideH w:val="nil"/>
          <w:insideV w:val="nil"/>
        </w:tcBorders>
        <w:shd w:val="clear" w:color="auto" w:fill="FFFFFF" w:themeFill="background1"/>
      </w:tcPr>
    </w:tblStylePr>
    <w:tblStylePr w:type="lastRow">
      <w:rPr>
        <w:b/>
        <w:bCs/>
      </w:rPr>
      <w:tblPr/>
      <w:tcPr>
        <w:tcBorders>
          <w:top w:val="double" w:sz="2" w:space="0" w:color="FFD96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insideV w:val="nil"/>
        </w:tcBorders>
        <w:shd w:val="clear" w:color="auto" w:fill="0070C0" w:themeFill="accent3"/>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insideV w:val="nil"/>
        </w:tcBorders>
        <w:shd w:val="clear" w:color="auto" w:fill="92D050" w:themeFill="accent4"/>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insideV w:val="nil"/>
        </w:tcBorders>
        <w:shd w:val="clear" w:color="auto" w:fill="F79646" w:themeFill="accent5"/>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insideV w:val="nil"/>
        </w:tcBorders>
        <w:shd w:val="clear" w:color="auto" w:fill="FFC000" w:themeFill="accent6"/>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4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0C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0C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0C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0C0" w:themeFill="accent3"/>
      </w:tcPr>
    </w:tblStylePr>
    <w:tblStylePr w:type="band1Vert">
      <w:tblPr/>
      <w:tcPr>
        <w:shd w:val="clear" w:color="auto" w:fill="7FC9FF" w:themeFill="accent3" w:themeFillTint="66"/>
      </w:tcPr>
    </w:tblStylePr>
    <w:tblStylePr w:type="band1Horz">
      <w:tblPr/>
      <w:tcPr>
        <w:shd w:val="clear" w:color="auto" w:fill="7FC9FF"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5D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2D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2D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2D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2D050" w:themeFill="accent4"/>
      </w:tcPr>
    </w:tblStylePr>
    <w:tblStylePr w:type="band1Vert">
      <w:tblPr/>
      <w:tcPr>
        <w:shd w:val="clear" w:color="auto" w:fill="D3ECB8" w:themeFill="accent4" w:themeFillTint="66"/>
      </w:tcPr>
    </w:tblStylePr>
    <w:tblStylePr w:type="band1Horz">
      <w:tblPr/>
      <w:tcPr>
        <w:shd w:val="clear" w:color="auto" w:fill="D3ECB8"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5"/>
      </w:tcPr>
    </w:tblStylePr>
    <w:tblStylePr w:type="band1Vert">
      <w:tblPr/>
      <w:tcPr>
        <w:shd w:val="clear" w:color="auto" w:fill="FBD4B4" w:themeFill="accent5" w:themeFillTint="66"/>
      </w:tcPr>
    </w:tblStylePr>
    <w:tblStylePr w:type="band1Horz">
      <w:tblPr/>
      <w:tcPr>
        <w:shd w:val="clear" w:color="auto" w:fill="FBD4B4"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6"/>
      </w:tcPr>
    </w:tblStylePr>
    <w:tblStylePr w:type="band1Vert">
      <w:tblPr/>
      <w:tcPr>
        <w:shd w:val="clear" w:color="auto" w:fill="FFE599" w:themeFill="accent6" w:themeFillTint="66"/>
      </w:tcPr>
    </w:tblStylePr>
    <w:tblStylePr w:type="band1Horz">
      <w:tblPr/>
      <w:tcPr>
        <w:shd w:val="clear" w:color="auto" w:fill="FFE599"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bottom w:val="single" w:sz="12" w:space="0" w:color="40AEFF" w:themeColor="accent3" w:themeTint="99"/>
        </w:tcBorders>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bottom w:val="single" w:sz="12" w:space="0" w:color="BDE295" w:themeColor="accent4" w:themeTint="99"/>
        </w:tcBorders>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bottom w:val="single" w:sz="12" w:space="0" w:color="FABF8F" w:themeColor="accent5" w:themeTint="99"/>
        </w:tcBorders>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bottom w:val="single" w:sz="12" w:space="0" w:color="FFD966" w:themeColor="accent6" w:themeTint="99"/>
        </w:tcBorders>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00538F" w:themeColor="accent3" w:themeShade="BF"/>
    </w:r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insideV w:val="single" w:sz="4" w:space="0" w:color="40AE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bottom w:val="single" w:sz="4" w:space="0" w:color="40AEFF" w:themeColor="accent3" w:themeTint="99"/>
        </w:tcBorders>
      </w:tcPr>
    </w:tblStylePr>
    <w:tblStylePr w:type="nwCell">
      <w:tblPr/>
      <w:tcPr>
        <w:tcBorders>
          <w:bottom w:val="single" w:sz="4" w:space="0" w:color="40AEFF" w:themeColor="accent3" w:themeTint="99"/>
        </w:tcBorders>
      </w:tcPr>
    </w:tblStylePr>
    <w:tblStylePr w:type="seCell">
      <w:tblPr/>
      <w:tcPr>
        <w:tcBorders>
          <w:top w:val="single" w:sz="4" w:space="0" w:color="40AEFF" w:themeColor="accent3" w:themeTint="99"/>
        </w:tcBorders>
      </w:tcPr>
    </w:tblStylePr>
    <w:tblStylePr w:type="swCell">
      <w:tblPr/>
      <w:tcPr>
        <w:tcBorders>
          <w:top w:val="single" w:sz="4" w:space="0" w:color="40AEFF"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6DA92D" w:themeColor="accent4" w:themeShade="BF"/>
    </w:r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insideV w:val="single" w:sz="4" w:space="0" w:color="BDE29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bottom w:val="single" w:sz="4" w:space="0" w:color="BDE295" w:themeColor="accent4" w:themeTint="99"/>
        </w:tcBorders>
      </w:tcPr>
    </w:tblStylePr>
    <w:tblStylePr w:type="nwCell">
      <w:tblPr/>
      <w:tcPr>
        <w:tcBorders>
          <w:bottom w:val="single" w:sz="4" w:space="0" w:color="BDE295" w:themeColor="accent4" w:themeTint="99"/>
        </w:tcBorders>
      </w:tcPr>
    </w:tblStylePr>
    <w:tblStylePr w:type="seCell">
      <w:tblPr/>
      <w:tcPr>
        <w:tcBorders>
          <w:top w:val="single" w:sz="4" w:space="0" w:color="BDE295" w:themeColor="accent4" w:themeTint="99"/>
        </w:tcBorders>
      </w:tcPr>
    </w:tblStylePr>
    <w:tblStylePr w:type="swCell">
      <w:tblPr/>
      <w:tcPr>
        <w:tcBorders>
          <w:top w:val="single" w:sz="4" w:space="0" w:color="BDE295"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E36C0A" w:themeColor="accent5" w:themeShade="BF"/>
    </w:r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insideV w:val="single" w:sz="4" w:space="0" w:color="FABF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bottom w:val="single" w:sz="4" w:space="0" w:color="FABF8F" w:themeColor="accent5" w:themeTint="99"/>
        </w:tcBorders>
      </w:tcPr>
    </w:tblStylePr>
    <w:tblStylePr w:type="nwCell">
      <w:tblPr/>
      <w:tcPr>
        <w:tcBorders>
          <w:bottom w:val="single" w:sz="4" w:space="0" w:color="FABF8F" w:themeColor="accent5" w:themeTint="99"/>
        </w:tcBorders>
      </w:tcPr>
    </w:tblStylePr>
    <w:tblStylePr w:type="seCell">
      <w:tblPr/>
      <w:tcPr>
        <w:tcBorders>
          <w:top w:val="single" w:sz="4" w:space="0" w:color="FABF8F" w:themeColor="accent5" w:themeTint="99"/>
        </w:tcBorders>
      </w:tcPr>
    </w:tblStylePr>
    <w:tblStylePr w:type="swCell">
      <w:tblPr/>
      <w:tcPr>
        <w:tcBorders>
          <w:top w:val="single" w:sz="4" w:space="0" w:color="FABF8F"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BF8F00" w:themeColor="accent6" w:themeShade="BF"/>
    </w:r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insideV w:val="single" w:sz="4" w:space="0" w:color="FFD96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bottom w:val="single" w:sz="4" w:space="0" w:color="FFD966" w:themeColor="accent6" w:themeTint="99"/>
        </w:tcBorders>
      </w:tcPr>
    </w:tblStylePr>
    <w:tblStylePr w:type="nwCell">
      <w:tblPr/>
      <w:tcPr>
        <w:tcBorders>
          <w:bottom w:val="single" w:sz="4" w:space="0" w:color="FFD966" w:themeColor="accent6" w:themeTint="99"/>
        </w:tcBorders>
      </w:tcPr>
    </w:tblStylePr>
    <w:tblStylePr w:type="seCell">
      <w:tblPr/>
      <w:tcPr>
        <w:tcBorders>
          <w:top w:val="single" w:sz="4" w:space="0" w:color="FFD966" w:themeColor="accent6" w:themeTint="99"/>
        </w:tcBorders>
      </w:tcPr>
    </w:tblStylePr>
    <w:tblStylePr w:type="swCell">
      <w:tblPr/>
      <w:tcPr>
        <w:tcBorders>
          <w:top w:val="single" w:sz="4" w:space="0" w:color="FFD966"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18" w:space="0" w:color="0070C0" w:themeColor="accent3"/>
          <w:right w:val="single" w:sz="8" w:space="0" w:color="0070C0" w:themeColor="accent3"/>
          <w:insideH w:val="nil"/>
          <w:insideV w:val="single" w:sz="8" w:space="0" w:color="0070C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insideH w:val="nil"/>
          <w:insideV w:val="single" w:sz="8" w:space="0" w:color="0070C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shd w:val="clear" w:color="auto" w:fill="B0DDFF" w:themeFill="accent3" w:themeFillTint="3F"/>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shd w:val="clear" w:color="auto" w:fill="B0DDFF" w:themeFill="accent3" w:themeFillTint="3F"/>
      </w:tcPr>
    </w:tblStylePr>
    <w:tblStylePr w:type="band2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insideV w:val="single" w:sz="8" w:space="0" w:color="0070C0"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18" w:space="0" w:color="92D050" w:themeColor="accent4"/>
          <w:right w:val="single" w:sz="8" w:space="0" w:color="92D050" w:themeColor="accent4"/>
          <w:insideH w:val="nil"/>
          <w:insideV w:val="single" w:sz="8" w:space="0" w:color="92D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insideH w:val="nil"/>
          <w:insideV w:val="single" w:sz="8" w:space="0" w:color="92D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shd w:val="clear" w:color="auto" w:fill="E3F3D3" w:themeFill="accent4" w:themeFillTint="3F"/>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shd w:val="clear" w:color="auto" w:fill="E3F3D3" w:themeFill="accent4" w:themeFillTint="3F"/>
      </w:tcPr>
    </w:tblStylePr>
    <w:tblStylePr w:type="band2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insideV w:val="single" w:sz="8" w:space="0" w:color="92D050"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18" w:space="0" w:color="F79646" w:themeColor="accent5"/>
          <w:right w:val="single" w:sz="8" w:space="0" w:color="F79646" w:themeColor="accent5"/>
          <w:insideH w:val="nil"/>
          <w:insideV w:val="single" w:sz="8" w:space="0" w:color="F7964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insideH w:val="nil"/>
          <w:insideV w:val="single" w:sz="8" w:space="0" w:color="F7964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shd w:val="clear" w:color="auto" w:fill="FDE4D0" w:themeFill="accent5" w:themeFillTint="3F"/>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shd w:val="clear" w:color="auto" w:fill="FDE4D0" w:themeFill="accent5" w:themeFillTint="3F"/>
      </w:tcPr>
    </w:tblStylePr>
    <w:tblStylePr w:type="band2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insideV w:val="single" w:sz="8" w:space="0" w:color="F79646"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18" w:space="0" w:color="FFC000" w:themeColor="accent6"/>
          <w:right w:val="single" w:sz="8" w:space="0" w:color="FFC000" w:themeColor="accent6"/>
          <w:insideH w:val="nil"/>
          <w:insideV w:val="single" w:sz="8" w:space="0" w:color="FFC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insideH w:val="nil"/>
          <w:insideV w:val="single" w:sz="8" w:space="0" w:color="FFC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shd w:val="clear" w:color="auto" w:fill="FFEFC0" w:themeFill="accent6" w:themeFillTint="3F"/>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shd w:val="clear" w:color="auto" w:fill="FFEFC0" w:themeFill="accent6" w:themeFillTint="3F"/>
      </w:tcPr>
    </w:tblStylePr>
    <w:tblStylePr w:type="band2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insideV w:val="single" w:sz="8" w:space="0" w:color="FFC000"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pPr>
        <w:spacing w:before="0" w:after="0" w:line="240" w:lineRule="auto"/>
      </w:pPr>
      <w:rPr>
        <w:b/>
        <w:bCs/>
        <w:color w:val="FFFFFF" w:themeColor="background1"/>
      </w:rPr>
      <w:tblPr/>
      <w:tcPr>
        <w:shd w:val="clear" w:color="auto" w:fill="0070C0" w:themeFill="accent3"/>
      </w:tcPr>
    </w:tblStylePr>
    <w:tblStylePr w:type="lastRow">
      <w:pPr>
        <w:spacing w:before="0" w:after="0" w:line="240" w:lineRule="auto"/>
      </w:pPr>
      <w:rPr>
        <w:b/>
        <w:bCs/>
      </w:rPr>
      <w:tblPr/>
      <w:tcPr>
        <w:tcBorders>
          <w:top w:val="double" w:sz="6" w:space="0" w:color="0070C0" w:themeColor="accent3"/>
          <w:left w:val="single" w:sz="8" w:space="0" w:color="0070C0" w:themeColor="accent3"/>
          <w:bottom w:val="single" w:sz="8" w:space="0" w:color="0070C0" w:themeColor="accent3"/>
          <w:right w:val="single" w:sz="8" w:space="0" w:color="0070C0" w:themeColor="accent3"/>
        </w:tcBorders>
      </w:tcPr>
    </w:tblStylePr>
    <w:tblStylePr w:type="firstCol">
      <w:rPr>
        <w:b/>
        <w:bCs/>
      </w:rPr>
    </w:tblStylePr>
    <w:tblStylePr w:type="lastCol">
      <w:rPr>
        <w:b/>
        <w:bCs/>
      </w:rPr>
    </w:tblStylePr>
    <w:tblStylePr w:type="band1Vert">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tblStylePr w:type="band1Horz">
      <w:tblPr/>
      <w:tcPr>
        <w:tcBorders>
          <w:top w:val="single" w:sz="8" w:space="0" w:color="0070C0" w:themeColor="accent3"/>
          <w:left w:val="single" w:sz="8" w:space="0" w:color="0070C0" w:themeColor="accent3"/>
          <w:bottom w:val="single" w:sz="8" w:space="0" w:color="0070C0" w:themeColor="accent3"/>
          <w:right w:val="single" w:sz="8" w:space="0" w:color="0070C0"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pPr>
        <w:spacing w:before="0" w:after="0" w:line="240" w:lineRule="auto"/>
      </w:pPr>
      <w:rPr>
        <w:b/>
        <w:bCs/>
        <w:color w:val="FFFFFF" w:themeColor="background1"/>
      </w:rPr>
      <w:tblPr/>
      <w:tcPr>
        <w:shd w:val="clear" w:color="auto" w:fill="92D050" w:themeFill="accent4"/>
      </w:tcPr>
    </w:tblStylePr>
    <w:tblStylePr w:type="lastRow">
      <w:pPr>
        <w:spacing w:before="0" w:after="0" w:line="240" w:lineRule="auto"/>
      </w:pPr>
      <w:rPr>
        <w:b/>
        <w:bCs/>
      </w:rPr>
      <w:tblPr/>
      <w:tcPr>
        <w:tcBorders>
          <w:top w:val="double" w:sz="6" w:space="0" w:color="92D050" w:themeColor="accent4"/>
          <w:left w:val="single" w:sz="8" w:space="0" w:color="92D050" w:themeColor="accent4"/>
          <w:bottom w:val="single" w:sz="8" w:space="0" w:color="92D050" w:themeColor="accent4"/>
          <w:right w:val="single" w:sz="8" w:space="0" w:color="92D050" w:themeColor="accent4"/>
        </w:tcBorders>
      </w:tcPr>
    </w:tblStylePr>
    <w:tblStylePr w:type="firstCol">
      <w:rPr>
        <w:b/>
        <w:bCs/>
      </w:rPr>
    </w:tblStylePr>
    <w:tblStylePr w:type="lastCol">
      <w:rPr>
        <w:b/>
        <w:bCs/>
      </w:rPr>
    </w:tblStylePr>
    <w:tblStylePr w:type="band1Vert">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tblStylePr w:type="band1Horz">
      <w:tblPr/>
      <w:tcPr>
        <w:tcBorders>
          <w:top w:val="single" w:sz="8" w:space="0" w:color="92D050" w:themeColor="accent4"/>
          <w:left w:val="single" w:sz="8" w:space="0" w:color="92D050" w:themeColor="accent4"/>
          <w:bottom w:val="single" w:sz="8" w:space="0" w:color="92D050" w:themeColor="accent4"/>
          <w:right w:val="single" w:sz="8" w:space="0" w:color="92D050"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pPr>
        <w:spacing w:before="0" w:after="0" w:line="240" w:lineRule="auto"/>
      </w:pPr>
      <w:rPr>
        <w:b/>
        <w:bCs/>
        <w:color w:val="FFFFFF" w:themeColor="background1"/>
      </w:rPr>
      <w:tblPr/>
      <w:tcPr>
        <w:shd w:val="clear" w:color="auto" w:fill="F79646" w:themeFill="accent5"/>
      </w:tcPr>
    </w:tblStylePr>
    <w:tblStylePr w:type="lastRow">
      <w:pPr>
        <w:spacing w:before="0" w:after="0" w:line="240" w:lineRule="auto"/>
      </w:pPr>
      <w:rPr>
        <w:b/>
        <w:bCs/>
      </w:rPr>
      <w:tblPr/>
      <w:tcPr>
        <w:tcBorders>
          <w:top w:val="double" w:sz="6" w:space="0" w:color="F79646" w:themeColor="accent5"/>
          <w:left w:val="single" w:sz="8" w:space="0" w:color="F79646" w:themeColor="accent5"/>
          <w:bottom w:val="single" w:sz="8" w:space="0" w:color="F79646" w:themeColor="accent5"/>
          <w:right w:val="single" w:sz="8" w:space="0" w:color="F79646" w:themeColor="accent5"/>
        </w:tcBorders>
      </w:tcPr>
    </w:tblStylePr>
    <w:tblStylePr w:type="firstCol">
      <w:rPr>
        <w:b/>
        <w:bCs/>
      </w:rPr>
    </w:tblStylePr>
    <w:tblStylePr w:type="lastCol">
      <w:rPr>
        <w:b/>
        <w:bCs/>
      </w:rPr>
    </w:tblStylePr>
    <w:tblStylePr w:type="band1Vert">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tblStylePr w:type="band1Horz">
      <w:tblPr/>
      <w:tcPr>
        <w:tcBorders>
          <w:top w:val="single" w:sz="8" w:space="0" w:color="F79646" w:themeColor="accent5"/>
          <w:left w:val="single" w:sz="8" w:space="0" w:color="F79646" w:themeColor="accent5"/>
          <w:bottom w:val="single" w:sz="8" w:space="0" w:color="F79646" w:themeColor="accent5"/>
          <w:right w:val="single" w:sz="8" w:space="0" w:color="F79646"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pPr>
        <w:spacing w:before="0" w:after="0" w:line="240" w:lineRule="auto"/>
      </w:pPr>
      <w:rPr>
        <w:b/>
        <w:bCs/>
        <w:color w:val="FFFFFF" w:themeColor="background1"/>
      </w:rPr>
      <w:tblPr/>
      <w:tcPr>
        <w:shd w:val="clear" w:color="auto" w:fill="FFC000" w:themeFill="accent6"/>
      </w:tcPr>
    </w:tblStylePr>
    <w:tblStylePr w:type="lastRow">
      <w:pPr>
        <w:spacing w:before="0" w:after="0" w:line="240" w:lineRule="auto"/>
      </w:pPr>
      <w:rPr>
        <w:b/>
        <w:bCs/>
      </w:rPr>
      <w:tblPr/>
      <w:tcPr>
        <w:tcBorders>
          <w:top w:val="double" w:sz="6" w:space="0" w:color="FFC000" w:themeColor="accent6"/>
          <w:left w:val="single" w:sz="8" w:space="0" w:color="FFC000" w:themeColor="accent6"/>
          <w:bottom w:val="single" w:sz="8" w:space="0" w:color="FFC000" w:themeColor="accent6"/>
          <w:right w:val="single" w:sz="8" w:space="0" w:color="FFC000" w:themeColor="accent6"/>
        </w:tcBorders>
      </w:tcPr>
    </w:tblStylePr>
    <w:tblStylePr w:type="firstCol">
      <w:rPr>
        <w:b/>
        <w:bCs/>
      </w:rPr>
    </w:tblStylePr>
    <w:tblStylePr w:type="lastCol">
      <w:rPr>
        <w:b/>
        <w:bCs/>
      </w:rPr>
    </w:tblStylePr>
    <w:tblStylePr w:type="band1Vert">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tblStylePr w:type="band1Horz">
      <w:tblPr/>
      <w:tcPr>
        <w:tcBorders>
          <w:top w:val="single" w:sz="8" w:space="0" w:color="FFC000" w:themeColor="accent6"/>
          <w:left w:val="single" w:sz="8" w:space="0" w:color="FFC000" w:themeColor="accent6"/>
          <w:bottom w:val="single" w:sz="8" w:space="0" w:color="FFC000" w:themeColor="accent6"/>
          <w:right w:val="single" w:sz="8" w:space="0" w:color="FFC000"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semiHidden/>
    <w:rsid w:val="00B60586"/>
    <w:pPr>
      <w:spacing w:line="240" w:lineRule="auto"/>
    </w:pPr>
    <w:rPr>
      <w:color w:val="00538F" w:themeColor="accent3" w:themeShade="BF"/>
    </w:rPr>
    <w:tblPr>
      <w:tblStyleRowBandSize w:val="1"/>
      <w:tblStyleColBandSize w:val="1"/>
      <w:tblBorders>
        <w:top w:val="single" w:sz="8" w:space="0" w:color="0070C0" w:themeColor="accent3"/>
        <w:bottom w:val="single" w:sz="8" w:space="0" w:color="0070C0" w:themeColor="accent3"/>
      </w:tblBorders>
    </w:tblPr>
    <w:tblStylePr w:type="fir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lastRow">
      <w:pPr>
        <w:spacing w:before="0" w:after="0" w:line="240" w:lineRule="auto"/>
      </w:pPr>
      <w:rPr>
        <w:b/>
        <w:bCs/>
      </w:rPr>
      <w:tblPr/>
      <w:tcPr>
        <w:tcBorders>
          <w:top w:val="single" w:sz="8" w:space="0" w:color="0070C0" w:themeColor="accent3"/>
          <w:left w:val="nil"/>
          <w:bottom w:val="single" w:sz="8" w:space="0" w:color="0070C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left w:val="nil"/>
          <w:right w:val="nil"/>
          <w:insideH w:val="nil"/>
          <w:insideV w:val="nil"/>
        </w:tcBorders>
        <w:shd w:val="clear" w:color="auto" w:fill="B0DDFF" w:themeFill="accent3" w:themeFillTint="3F"/>
      </w:tcPr>
    </w:tblStylePr>
  </w:style>
  <w:style w:type="table" w:styleId="LightShading-Accent4">
    <w:name w:val="Light Shading Accent 4"/>
    <w:basedOn w:val="TableNormal"/>
    <w:uiPriority w:val="60"/>
    <w:semiHidden/>
    <w:rsid w:val="00B60586"/>
    <w:pPr>
      <w:spacing w:line="240" w:lineRule="auto"/>
    </w:pPr>
    <w:rPr>
      <w:color w:val="6DA92D" w:themeColor="accent4" w:themeShade="BF"/>
    </w:rPr>
    <w:tblPr>
      <w:tblStyleRowBandSize w:val="1"/>
      <w:tblStyleColBandSize w:val="1"/>
      <w:tblBorders>
        <w:top w:val="single" w:sz="8" w:space="0" w:color="92D050" w:themeColor="accent4"/>
        <w:bottom w:val="single" w:sz="8" w:space="0" w:color="92D050" w:themeColor="accent4"/>
      </w:tblBorders>
    </w:tblPr>
    <w:tblStylePr w:type="fir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lastRow">
      <w:pPr>
        <w:spacing w:before="0" w:after="0" w:line="240" w:lineRule="auto"/>
      </w:pPr>
      <w:rPr>
        <w:b/>
        <w:bCs/>
      </w:rPr>
      <w:tblPr/>
      <w:tcPr>
        <w:tcBorders>
          <w:top w:val="single" w:sz="8" w:space="0" w:color="92D050" w:themeColor="accent4"/>
          <w:left w:val="nil"/>
          <w:bottom w:val="single" w:sz="8" w:space="0" w:color="92D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left w:val="nil"/>
          <w:right w:val="nil"/>
          <w:insideH w:val="nil"/>
          <w:insideV w:val="nil"/>
        </w:tcBorders>
        <w:shd w:val="clear" w:color="auto" w:fill="E3F3D3" w:themeFill="accent4" w:themeFillTint="3F"/>
      </w:tcPr>
    </w:tblStylePr>
  </w:style>
  <w:style w:type="table" w:styleId="LightShading-Accent5">
    <w:name w:val="Light Shading Accent 5"/>
    <w:basedOn w:val="TableNormal"/>
    <w:uiPriority w:val="60"/>
    <w:semiHidden/>
    <w:rsid w:val="00B60586"/>
    <w:pPr>
      <w:spacing w:line="240" w:lineRule="auto"/>
    </w:pPr>
    <w:rPr>
      <w:color w:val="E36C0A" w:themeColor="accent5" w:themeShade="BF"/>
    </w:rPr>
    <w:tblPr>
      <w:tblStyleRowBandSize w:val="1"/>
      <w:tblStyleColBandSize w:val="1"/>
      <w:tblBorders>
        <w:top w:val="single" w:sz="8" w:space="0" w:color="F79646" w:themeColor="accent5"/>
        <w:bottom w:val="single" w:sz="8" w:space="0" w:color="F79646" w:themeColor="accent5"/>
      </w:tblBorders>
    </w:tblPr>
    <w:tblStylePr w:type="fir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lastRow">
      <w:pPr>
        <w:spacing w:before="0" w:after="0" w:line="240" w:lineRule="auto"/>
      </w:pPr>
      <w:rPr>
        <w:b/>
        <w:bCs/>
      </w:rPr>
      <w:tblPr/>
      <w:tcPr>
        <w:tcBorders>
          <w:top w:val="single" w:sz="8" w:space="0" w:color="F79646" w:themeColor="accent5"/>
          <w:left w:val="nil"/>
          <w:bottom w:val="single" w:sz="8" w:space="0" w:color="F7964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left w:val="nil"/>
          <w:right w:val="nil"/>
          <w:insideH w:val="nil"/>
          <w:insideV w:val="nil"/>
        </w:tcBorders>
        <w:shd w:val="clear" w:color="auto" w:fill="FDE4D0" w:themeFill="accent5" w:themeFillTint="3F"/>
      </w:tcPr>
    </w:tblStylePr>
  </w:style>
  <w:style w:type="table" w:styleId="LightShading-Accent6">
    <w:name w:val="Light Shading Accent 6"/>
    <w:basedOn w:val="TableNormal"/>
    <w:uiPriority w:val="60"/>
    <w:semiHidden/>
    <w:rsid w:val="00B60586"/>
    <w:pPr>
      <w:spacing w:line="240" w:lineRule="auto"/>
    </w:pPr>
    <w:rPr>
      <w:color w:val="BF8F00" w:themeColor="accent6" w:themeShade="BF"/>
    </w:rPr>
    <w:tblPr>
      <w:tblStyleRowBandSize w:val="1"/>
      <w:tblStyleColBandSize w:val="1"/>
      <w:tblBorders>
        <w:top w:val="single" w:sz="8" w:space="0" w:color="FFC000" w:themeColor="accent6"/>
        <w:bottom w:val="single" w:sz="8" w:space="0" w:color="FFC000" w:themeColor="accent6"/>
      </w:tblBorders>
    </w:tblPr>
    <w:tblStylePr w:type="fir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lastRow">
      <w:pPr>
        <w:spacing w:before="0" w:after="0" w:line="240" w:lineRule="auto"/>
      </w:pPr>
      <w:rPr>
        <w:b/>
        <w:bCs/>
      </w:rPr>
      <w:tblPr/>
      <w:tcPr>
        <w:tcBorders>
          <w:top w:val="single" w:sz="8" w:space="0" w:color="FFC000" w:themeColor="accent6"/>
          <w:left w:val="nil"/>
          <w:bottom w:val="single" w:sz="8" w:space="0" w:color="FFC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left w:val="nil"/>
          <w:right w:val="nil"/>
          <w:insideH w:val="nil"/>
          <w:insideV w:val="nil"/>
        </w:tcBorders>
        <w:shd w:val="clear" w:color="auto" w:fill="FFEFC0"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40AEFF" w:themeColor="accent3" w:themeTint="99"/>
        </w:tcBorders>
      </w:tcPr>
    </w:tblStylePr>
    <w:tblStylePr w:type="lastRow">
      <w:rPr>
        <w:b/>
        <w:bCs/>
      </w:rPr>
      <w:tblPr/>
      <w:tcPr>
        <w:tcBorders>
          <w:top w:val="sing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DE295" w:themeColor="accent4" w:themeTint="99"/>
        </w:tcBorders>
      </w:tcPr>
    </w:tblStylePr>
    <w:tblStylePr w:type="lastRow">
      <w:rPr>
        <w:b/>
        <w:bCs/>
      </w:rPr>
      <w:tblPr/>
      <w:tcPr>
        <w:tcBorders>
          <w:top w:val="sing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ABF8F" w:themeColor="accent5" w:themeTint="99"/>
        </w:tcBorders>
      </w:tcPr>
    </w:tblStylePr>
    <w:tblStylePr w:type="lastRow">
      <w:rPr>
        <w:b/>
        <w:bCs/>
      </w:rPr>
      <w:tblPr/>
      <w:tcPr>
        <w:tcBorders>
          <w:top w:val="sing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D966" w:themeColor="accent6" w:themeTint="99"/>
        </w:tcBorders>
      </w:tcPr>
    </w:tblStylePr>
    <w:tblStylePr w:type="lastRow">
      <w:rPr>
        <w:b/>
        <w:bCs/>
      </w:rPr>
      <w:tblPr/>
      <w:tcPr>
        <w:tcBorders>
          <w:top w:val="sing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40AEFF" w:themeColor="accent3" w:themeTint="99"/>
        <w:bottom w:val="single" w:sz="4" w:space="0" w:color="40AEFF" w:themeColor="accent3" w:themeTint="99"/>
        <w:insideH w:val="single" w:sz="4" w:space="0" w:color="40AEF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BDE295" w:themeColor="accent4" w:themeTint="99"/>
        <w:bottom w:val="single" w:sz="4" w:space="0" w:color="BDE295" w:themeColor="accent4" w:themeTint="99"/>
        <w:insideH w:val="single" w:sz="4" w:space="0" w:color="BDE29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FABF8F" w:themeColor="accent5" w:themeTint="99"/>
        <w:bottom w:val="single" w:sz="4" w:space="0" w:color="FABF8F" w:themeColor="accent5" w:themeTint="99"/>
        <w:insideH w:val="single" w:sz="4" w:space="0" w:color="FABF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D966" w:themeColor="accent6" w:themeTint="99"/>
        <w:bottom w:val="single" w:sz="4" w:space="0" w:color="FFD966" w:themeColor="accent6" w:themeTint="99"/>
        <w:insideH w:val="single" w:sz="4" w:space="0" w:color="FFD96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0070C0" w:themeColor="accent3"/>
        <w:left w:val="single" w:sz="4" w:space="0" w:color="0070C0" w:themeColor="accent3"/>
        <w:bottom w:val="single" w:sz="4" w:space="0" w:color="0070C0" w:themeColor="accent3"/>
        <w:right w:val="single" w:sz="4" w:space="0" w:color="0070C0" w:themeColor="accent3"/>
      </w:tblBorders>
    </w:tblPr>
    <w:tblStylePr w:type="firstRow">
      <w:rPr>
        <w:b/>
        <w:bCs/>
        <w:color w:val="FFFFFF" w:themeColor="background1"/>
      </w:rPr>
      <w:tblPr/>
      <w:tcPr>
        <w:shd w:val="clear" w:color="auto" w:fill="0070C0" w:themeFill="accent3"/>
      </w:tcPr>
    </w:tblStylePr>
    <w:tblStylePr w:type="lastRow">
      <w:rPr>
        <w:b/>
        <w:bCs/>
      </w:rPr>
      <w:tblPr/>
      <w:tcPr>
        <w:tcBorders>
          <w:top w:val="double" w:sz="4" w:space="0" w:color="0070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0C0" w:themeColor="accent3"/>
          <w:right w:val="single" w:sz="4" w:space="0" w:color="0070C0" w:themeColor="accent3"/>
        </w:tcBorders>
      </w:tcPr>
    </w:tblStylePr>
    <w:tblStylePr w:type="band1Horz">
      <w:tblPr/>
      <w:tcPr>
        <w:tcBorders>
          <w:top w:val="single" w:sz="4" w:space="0" w:color="0070C0" w:themeColor="accent3"/>
          <w:bottom w:val="single" w:sz="4" w:space="0" w:color="0070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0C0" w:themeColor="accent3"/>
          <w:left w:val="nil"/>
        </w:tcBorders>
      </w:tcPr>
    </w:tblStylePr>
    <w:tblStylePr w:type="swCell">
      <w:tblPr/>
      <w:tcPr>
        <w:tcBorders>
          <w:top w:val="double" w:sz="4" w:space="0" w:color="0070C0"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92D050" w:themeColor="accent4"/>
        <w:left w:val="single" w:sz="4" w:space="0" w:color="92D050" w:themeColor="accent4"/>
        <w:bottom w:val="single" w:sz="4" w:space="0" w:color="92D050" w:themeColor="accent4"/>
        <w:right w:val="single" w:sz="4" w:space="0" w:color="92D050" w:themeColor="accent4"/>
      </w:tblBorders>
    </w:tblPr>
    <w:tblStylePr w:type="firstRow">
      <w:rPr>
        <w:b/>
        <w:bCs/>
        <w:color w:val="FFFFFF" w:themeColor="background1"/>
      </w:rPr>
      <w:tblPr/>
      <w:tcPr>
        <w:shd w:val="clear" w:color="auto" w:fill="92D050" w:themeFill="accent4"/>
      </w:tcPr>
    </w:tblStylePr>
    <w:tblStylePr w:type="lastRow">
      <w:rPr>
        <w:b/>
        <w:bCs/>
      </w:rPr>
      <w:tblPr/>
      <w:tcPr>
        <w:tcBorders>
          <w:top w:val="double" w:sz="4" w:space="0" w:color="92D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2D050" w:themeColor="accent4"/>
          <w:right w:val="single" w:sz="4" w:space="0" w:color="92D050" w:themeColor="accent4"/>
        </w:tcBorders>
      </w:tcPr>
    </w:tblStylePr>
    <w:tblStylePr w:type="band1Horz">
      <w:tblPr/>
      <w:tcPr>
        <w:tcBorders>
          <w:top w:val="single" w:sz="4" w:space="0" w:color="92D050" w:themeColor="accent4"/>
          <w:bottom w:val="single" w:sz="4" w:space="0" w:color="92D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2D050" w:themeColor="accent4"/>
          <w:left w:val="nil"/>
        </w:tcBorders>
      </w:tcPr>
    </w:tblStylePr>
    <w:tblStylePr w:type="swCell">
      <w:tblPr/>
      <w:tcPr>
        <w:tcBorders>
          <w:top w:val="double" w:sz="4" w:space="0" w:color="92D050"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F79646" w:themeColor="accent5"/>
        <w:left w:val="single" w:sz="4" w:space="0" w:color="F79646" w:themeColor="accent5"/>
        <w:bottom w:val="single" w:sz="4" w:space="0" w:color="F79646" w:themeColor="accent5"/>
        <w:right w:val="single" w:sz="4" w:space="0" w:color="F79646" w:themeColor="accent5"/>
      </w:tblBorders>
    </w:tblPr>
    <w:tblStylePr w:type="firstRow">
      <w:rPr>
        <w:b/>
        <w:bCs/>
        <w:color w:val="FFFFFF" w:themeColor="background1"/>
      </w:rPr>
      <w:tblPr/>
      <w:tcPr>
        <w:shd w:val="clear" w:color="auto" w:fill="F79646" w:themeFill="accent5"/>
      </w:tcPr>
    </w:tblStylePr>
    <w:tblStylePr w:type="lastRow">
      <w:rPr>
        <w:b/>
        <w:bCs/>
      </w:rPr>
      <w:tblPr/>
      <w:tcPr>
        <w:tcBorders>
          <w:top w:val="double" w:sz="4" w:space="0" w:color="F7964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5"/>
          <w:right w:val="single" w:sz="4" w:space="0" w:color="F79646" w:themeColor="accent5"/>
        </w:tcBorders>
      </w:tcPr>
    </w:tblStylePr>
    <w:tblStylePr w:type="band1Horz">
      <w:tblPr/>
      <w:tcPr>
        <w:tcBorders>
          <w:top w:val="single" w:sz="4" w:space="0" w:color="F79646" w:themeColor="accent5"/>
          <w:bottom w:val="single" w:sz="4" w:space="0" w:color="F7964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5"/>
          <w:left w:val="nil"/>
        </w:tcBorders>
      </w:tcPr>
    </w:tblStylePr>
    <w:tblStylePr w:type="swCell">
      <w:tblPr/>
      <w:tcPr>
        <w:tcBorders>
          <w:top w:val="double" w:sz="4" w:space="0" w:color="F79646"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000" w:themeColor="accent6"/>
        <w:left w:val="single" w:sz="4" w:space="0" w:color="FFC000" w:themeColor="accent6"/>
        <w:bottom w:val="single" w:sz="4" w:space="0" w:color="FFC000" w:themeColor="accent6"/>
        <w:right w:val="single" w:sz="4" w:space="0" w:color="FFC000" w:themeColor="accent6"/>
      </w:tblBorders>
    </w:tblPr>
    <w:tblStylePr w:type="firstRow">
      <w:rPr>
        <w:b/>
        <w:bCs/>
        <w:color w:val="FFFFFF" w:themeColor="background1"/>
      </w:rPr>
      <w:tblPr/>
      <w:tcPr>
        <w:shd w:val="clear" w:color="auto" w:fill="FFC000" w:themeFill="accent6"/>
      </w:tcPr>
    </w:tblStylePr>
    <w:tblStylePr w:type="lastRow">
      <w:rPr>
        <w:b/>
        <w:bCs/>
      </w:rPr>
      <w:tblPr/>
      <w:tcPr>
        <w:tcBorders>
          <w:top w:val="double" w:sz="4" w:space="0" w:color="FFC0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6"/>
          <w:right w:val="single" w:sz="4" w:space="0" w:color="FFC000" w:themeColor="accent6"/>
        </w:tcBorders>
      </w:tcPr>
    </w:tblStylePr>
    <w:tblStylePr w:type="band1Horz">
      <w:tblPr/>
      <w:tcPr>
        <w:tcBorders>
          <w:top w:val="single" w:sz="4" w:space="0" w:color="FFC000" w:themeColor="accent6"/>
          <w:bottom w:val="single" w:sz="4" w:space="0" w:color="FFC0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6"/>
          <w:left w:val="nil"/>
        </w:tcBorders>
      </w:tcPr>
    </w:tblStylePr>
    <w:tblStylePr w:type="swCell">
      <w:tblPr/>
      <w:tcPr>
        <w:tcBorders>
          <w:top w:val="double" w:sz="4" w:space="0" w:color="FFC000"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40AEFF" w:themeColor="accent3" w:themeTint="99"/>
        <w:left w:val="single" w:sz="4" w:space="0" w:color="40AEFF" w:themeColor="accent3" w:themeTint="99"/>
        <w:bottom w:val="single" w:sz="4" w:space="0" w:color="40AEFF" w:themeColor="accent3" w:themeTint="99"/>
        <w:right w:val="single" w:sz="4" w:space="0" w:color="40AEFF" w:themeColor="accent3" w:themeTint="99"/>
        <w:insideH w:val="single" w:sz="4" w:space="0" w:color="40AEFF" w:themeColor="accent3" w:themeTint="99"/>
      </w:tblBorders>
    </w:tblPr>
    <w:tblStylePr w:type="firstRow">
      <w:rPr>
        <w:b/>
        <w:bCs/>
        <w:color w:val="FFFFFF" w:themeColor="background1"/>
      </w:rPr>
      <w:tblPr/>
      <w:tcPr>
        <w:tcBorders>
          <w:top w:val="single" w:sz="4" w:space="0" w:color="0070C0" w:themeColor="accent3"/>
          <w:left w:val="single" w:sz="4" w:space="0" w:color="0070C0" w:themeColor="accent3"/>
          <w:bottom w:val="single" w:sz="4" w:space="0" w:color="0070C0" w:themeColor="accent3"/>
          <w:right w:val="single" w:sz="4" w:space="0" w:color="0070C0" w:themeColor="accent3"/>
          <w:insideH w:val="nil"/>
        </w:tcBorders>
        <w:shd w:val="clear" w:color="auto" w:fill="0070C0" w:themeFill="accent3"/>
      </w:tcPr>
    </w:tblStylePr>
    <w:tblStylePr w:type="lastRow">
      <w:rPr>
        <w:b/>
        <w:bCs/>
      </w:rPr>
      <w:tblPr/>
      <w:tcPr>
        <w:tcBorders>
          <w:top w:val="double" w:sz="4" w:space="0" w:color="40AEFF" w:themeColor="accent3" w:themeTint="99"/>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BDE295" w:themeColor="accent4" w:themeTint="99"/>
        <w:left w:val="single" w:sz="4" w:space="0" w:color="BDE295" w:themeColor="accent4" w:themeTint="99"/>
        <w:bottom w:val="single" w:sz="4" w:space="0" w:color="BDE295" w:themeColor="accent4" w:themeTint="99"/>
        <w:right w:val="single" w:sz="4" w:space="0" w:color="BDE295" w:themeColor="accent4" w:themeTint="99"/>
        <w:insideH w:val="single" w:sz="4" w:space="0" w:color="BDE295" w:themeColor="accent4" w:themeTint="99"/>
      </w:tblBorders>
    </w:tblPr>
    <w:tblStylePr w:type="firstRow">
      <w:rPr>
        <w:b/>
        <w:bCs/>
        <w:color w:val="FFFFFF" w:themeColor="background1"/>
      </w:rPr>
      <w:tblPr/>
      <w:tcPr>
        <w:tcBorders>
          <w:top w:val="single" w:sz="4" w:space="0" w:color="92D050" w:themeColor="accent4"/>
          <w:left w:val="single" w:sz="4" w:space="0" w:color="92D050" w:themeColor="accent4"/>
          <w:bottom w:val="single" w:sz="4" w:space="0" w:color="92D050" w:themeColor="accent4"/>
          <w:right w:val="single" w:sz="4" w:space="0" w:color="92D050" w:themeColor="accent4"/>
          <w:insideH w:val="nil"/>
        </w:tcBorders>
        <w:shd w:val="clear" w:color="auto" w:fill="92D050" w:themeFill="accent4"/>
      </w:tcPr>
    </w:tblStylePr>
    <w:tblStylePr w:type="lastRow">
      <w:rPr>
        <w:b/>
        <w:bCs/>
      </w:rPr>
      <w:tblPr/>
      <w:tcPr>
        <w:tcBorders>
          <w:top w:val="double" w:sz="4" w:space="0" w:color="BDE295" w:themeColor="accent4" w:themeTint="99"/>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FABF8F" w:themeColor="accent5" w:themeTint="99"/>
        <w:left w:val="single" w:sz="4" w:space="0" w:color="FABF8F" w:themeColor="accent5" w:themeTint="99"/>
        <w:bottom w:val="single" w:sz="4" w:space="0" w:color="FABF8F" w:themeColor="accent5" w:themeTint="99"/>
        <w:right w:val="single" w:sz="4" w:space="0" w:color="FABF8F" w:themeColor="accent5" w:themeTint="99"/>
        <w:insideH w:val="single" w:sz="4" w:space="0" w:color="FABF8F" w:themeColor="accent5" w:themeTint="99"/>
      </w:tblBorders>
    </w:tblPr>
    <w:tblStylePr w:type="firstRow">
      <w:rPr>
        <w:b/>
        <w:bCs/>
        <w:color w:val="FFFFFF" w:themeColor="background1"/>
      </w:rPr>
      <w:tblPr/>
      <w:tcPr>
        <w:tcBorders>
          <w:top w:val="single" w:sz="4" w:space="0" w:color="F79646" w:themeColor="accent5"/>
          <w:left w:val="single" w:sz="4" w:space="0" w:color="F79646" w:themeColor="accent5"/>
          <w:bottom w:val="single" w:sz="4" w:space="0" w:color="F79646" w:themeColor="accent5"/>
          <w:right w:val="single" w:sz="4" w:space="0" w:color="F79646" w:themeColor="accent5"/>
          <w:insideH w:val="nil"/>
        </w:tcBorders>
        <w:shd w:val="clear" w:color="auto" w:fill="F79646" w:themeFill="accent5"/>
      </w:tcPr>
    </w:tblStylePr>
    <w:tblStylePr w:type="lastRow">
      <w:rPr>
        <w:b/>
        <w:bCs/>
      </w:rPr>
      <w:tblPr/>
      <w:tcPr>
        <w:tcBorders>
          <w:top w:val="double" w:sz="4" w:space="0" w:color="FABF8F" w:themeColor="accent5" w:themeTint="99"/>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D966" w:themeColor="accent6" w:themeTint="99"/>
        <w:left w:val="single" w:sz="4" w:space="0" w:color="FFD966" w:themeColor="accent6" w:themeTint="99"/>
        <w:bottom w:val="single" w:sz="4" w:space="0" w:color="FFD966" w:themeColor="accent6" w:themeTint="99"/>
        <w:right w:val="single" w:sz="4" w:space="0" w:color="FFD966" w:themeColor="accent6" w:themeTint="99"/>
        <w:insideH w:val="single" w:sz="4" w:space="0" w:color="FFD966" w:themeColor="accent6" w:themeTint="99"/>
      </w:tblBorders>
    </w:tblPr>
    <w:tblStylePr w:type="firstRow">
      <w:rPr>
        <w:b/>
        <w:bCs/>
        <w:color w:val="FFFFFF" w:themeColor="background1"/>
      </w:rPr>
      <w:tblPr/>
      <w:tcPr>
        <w:tcBorders>
          <w:top w:val="single" w:sz="4" w:space="0" w:color="FFC000" w:themeColor="accent6"/>
          <w:left w:val="single" w:sz="4" w:space="0" w:color="FFC000" w:themeColor="accent6"/>
          <w:bottom w:val="single" w:sz="4" w:space="0" w:color="FFC000" w:themeColor="accent6"/>
          <w:right w:val="single" w:sz="4" w:space="0" w:color="FFC000" w:themeColor="accent6"/>
          <w:insideH w:val="nil"/>
        </w:tcBorders>
        <w:shd w:val="clear" w:color="auto" w:fill="FFC000" w:themeFill="accent6"/>
      </w:tcPr>
    </w:tblStylePr>
    <w:tblStylePr w:type="lastRow">
      <w:rPr>
        <w:b/>
        <w:bCs/>
      </w:rPr>
      <w:tblPr/>
      <w:tcPr>
        <w:tcBorders>
          <w:top w:val="double" w:sz="4" w:space="0" w:color="FFD966" w:themeColor="accent6" w:themeTint="99"/>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70C0" w:themeColor="accent3"/>
        <w:left w:val="single" w:sz="24" w:space="0" w:color="0070C0" w:themeColor="accent3"/>
        <w:bottom w:val="single" w:sz="24" w:space="0" w:color="0070C0" w:themeColor="accent3"/>
        <w:right w:val="single" w:sz="24" w:space="0" w:color="0070C0" w:themeColor="accent3"/>
      </w:tblBorders>
    </w:tblPr>
    <w:tcPr>
      <w:shd w:val="clear" w:color="auto" w:fill="0070C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92D050" w:themeColor="accent4"/>
        <w:left w:val="single" w:sz="24" w:space="0" w:color="92D050" w:themeColor="accent4"/>
        <w:bottom w:val="single" w:sz="24" w:space="0" w:color="92D050" w:themeColor="accent4"/>
        <w:right w:val="single" w:sz="24" w:space="0" w:color="92D050" w:themeColor="accent4"/>
      </w:tblBorders>
    </w:tblPr>
    <w:tcPr>
      <w:shd w:val="clear" w:color="auto" w:fill="92D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F79646" w:themeColor="accent5"/>
        <w:left w:val="single" w:sz="24" w:space="0" w:color="F79646" w:themeColor="accent5"/>
        <w:bottom w:val="single" w:sz="24" w:space="0" w:color="F79646" w:themeColor="accent5"/>
        <w:right w:val="single" w:sz="24" w:space="0" w:color="F79646" w:themeColor="accent5"/>
      </w:tblBorders>
    </w:tblPr>
    <w:tcPr>
      <w:shd w:val="clear" w:color="auto" w:fill="F7964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000" w:themeColor="accent6"/>
        <w:left w:val="single" w:sz="24" w:space="0" w:color="FFC000" w:themeColor="accent6"/>
        <w:bottom w:val="single" w:sz="24" w:space="0" w:color="FFC000" w:themeColor="accent6"/>
        <w:right w:val="single" w:sz="24" w:space="0" w:color="FFC000" w:themeColor="accent6"/>
      </w:tblBorders>
    </w:tblPr>
    <w:tcPr>
      <w:shd w:val="clear" w:color="auto" w:fill="FFC0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00538F" w:themeColor="accent3" w:themeShade="BF"/>
    </w:rPr>
    <w:tblPr>
      <w:tblStyleRowBandSize w:val="1"/>
      <w:tblStyleColBandSize w:val="1"/>
      <w:tblBorders>
        <w:top w:val="single" w:sz="4" w:space="0" w:color="0070C0" w:themeColor="accent3"/>
        <w:bottom w:val="single" w:sz="4" w:space="0" w:color="0070C0" w:themeColor="accent3"/>
      </w:tblBorders>
    </w:tblPr>
    <w:tblStylePr w:type="firstRow">
      <w:rPr>
        <w:b/>
        <w:bCs/>
      </w:rPr>
      <w:tblPr/>
      <w:tcPr>
        <w:tcBorders>
          <w:bottom w:val="single" w:sz="4" w:space="0" w:color="0070C0" w:themeColor="accent3"/>
        </w:tcBorders>
      </w:tcPr>
    </w:tblStylePr>
    <w:tblStylePr w:type="lastRow">
      <w:rPr>
        <w:b/>
        <w:bCs/>
      </w:rPr>
      <w:tblPr/>
      <w:tcPr>
        <w:tcBorders>
          <w:top w:val="double" w:sz="4" w:space="0" w:color="0070C0" w:themeColor="accent3"/>
        </w:tcBorders>
      </w:tcPr>
    </w:tblStylePr>
    <w:tblStylePr w:type="firstCol">
      <w:rPr>
        <w:b/>
        <w:bCs/>
      </w:rPr>
    </w:tblStylePr>
    <w:tblStylePr w:type="lastCol">
      <w:rPr>
        <w:b/>
        <w:bCs/>
      </w:rPr>
    </w:tblStylePr>
    <w:tblStylePr w:type="band1Vert">
      <w:tblPr/>
      <w:tcPr>
        <w:shd w:val="clear" w:color="auto" w:fill="BFE4FF" w:themeFill="accent3" w:themeFillTint="33"/>
      </w:tcPr>
    </w:tblStylePr>
    <w:tblStylePr w:type="band1Horz">
      <w:tblPr/>
      <w:tcPr>
        <w:shd w:val="clear" w:color="auto" w:fill="BFE4FF"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6DA92D" w:themeColor="accent4" w:themeShade="BF"/>
    </w:rPr>
    <w:tblPr>
      <w:tblStyleRowBandSize w:val="1"/>
      <w:tblStyleColBandSize w:val="1"/>
      <w:tblBorders>
        <w:top w:val="single" w:sz="4" w:space="0" w:color="92D050" w:themeColor="accent4"/>
        <w:bottom w:val="single" w:sz="4" w:space="0" w:color="92D050" w:themeColor="accent4"/>
      </w:tblBorders>
    </w:tblPr>
    <w:tblStylePr w:type="firstRow">
      <w:rPr>
        <w:b/>
        <w:bCs/>
      </w:rPr>
      <w:tblPr/>
      <w:tcPr>
        <w:tcBorders>
          <w:bottom w:val="single" w:sz="4" w:space="0" w:color="92D050" w:themeColor="accent4"/>
        </w:tcBorders>
      </w:tcPr>
    </w:tblStylePr>
    <w:tblStylePr w:type="lastRow">
      <w:rPr>
        <w:b/>
        <w:bCs/>
      </w:rPr>
      <w:tblPr/>
      <w:tcPr>
        <w:tcBorders>
          <w:top w:val="double" w:sz="4" w:space="0" w:color="92D050" w:themeColor="accent4"/>
        </w:tcBorders>
      </w:tcPr>
    </w:tblStylePr>
    <w:tblStylePr w:type="firstCol">
      <w:rPr>
        <w:b/>
        <w:bCs/>
      </w:rPr>
    </w:tblStylePr>
    <w:tblStylePr w:type="lastCol">
      <w:rPr>
        <w:b/>
        <w:bCs/>
      </w:rPr>
    </w:tblStylePr>
    <w:tblStylePr w:type="band1Vert">
      <w:tblPr/>
      <w:tcPr>
        <w:shd w:val="clear" w:color="auto" w:fill="E9F5DB" w:themeFill="accent4" w:themeFillTint="33"/>
      </w:tcPr>
    </w:tblStylePr>
    <w:tblStylePr w:type="band1Horz">
      <w:tblPr/>
      <w:tcPr>
        <w:shd w:val="clear" w:color="auto" w:fill="E9F5DB"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E36C0A" w:themeColor="accent5" w:themeShade="BF"/>
    </w:rPr>
    <w:tblPr>
      <w:tblStyleRowBandSize w:val="1"/>
      <w:tblStyleColBandSize w:val="1"/>
      <w:tblBorders>
        <w:top w:val="single" w:sz="4" w:space="0" w:color="F79646" w:themeColor="accent5"/>
        <w:bottom w:val="single" w:sz="4" w:space="0" w:color="F79646" w:themeColor="accent5"/>
      </w:tblBorders>
    </w:tblPr>
    <w:tblStylePr w:type="firstRow">
      <w:rPr>
        <w:b/>
        <w:bCs/>
      </w:rPr>
      <w:tblPr/>
      <w:tcPr>
        <w:tcBorders>
          <w:bottom w:val="single" w:sz="4" w:space="0" w:color="F79646" w:themeColor="accent5"/>
        </w:tcBorders>
      </w:tcPr>
    </w:tblStylePr>
    <w:tblStylePr w:type="lastRow">
      <w:rPr>
        <w:b/>
        <w:bCs/>
      </w:rPr>
      <w:tblPr/>
      <w:tcPr>
        <w:tcBorders>
          <w:top w:val="double" w:sz="4" w:space="0" w:color="F79646" w:themeColor="accent5"/>
        </w:tcBorders>
      </w:tcPr>
    </w:tblStylePr>
    <w:tblStylePr w:type="firstCol">
      <w:rPr>
        <w:b/>
        <w:bCs/>
      </w:rPr>
    </w:tblStylePr>
    <w:tblStylePr w:type="lastCol">
      <w:rPr>
        <w:b/>
        <w:bCs/>
      </w:rPr>
    </w:tblStylePr>
    <w:tblStylePr w:type="band1Vert">
      <w:tblPr/>
      <w:tcPr>
        <w:shd w:val="clear" w:color="auto" w:fill="FDE9D9" w:themeFill="accent5" w:themeFillTint="33"/>
      </w:tcPr>
    </w:tblStylePr>
    <w:tblStylePr w:type="band1Horz">
      <w:tblPr/>
      <w:tcPr>
        <w:shd w:val="clear" w:color="auto" w:fill="FDE9D9"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BF8F00" w:themeColor="accent6" w:themeShade="BF"/>
    </w:rPr>
    <w:tblPr>
      <w:tblStyleRowBandSize w:val="1"/>
      <w:tblStyleColBandSize w:val="1"/>
      <w:tblBorders>
        <w:top w:val="single" w:sz="4" w:space="0" w:color="FFC000" w:themeColor="accent6"/>
        <w:bottom w:val="single" w:sz="4" w:space="0" w:color="FFC000" w:themeColor="accent6"/>
      </w:tblBorders>
    </w:tblPr>
    <w:tblStylePr w:type="firstRow">
      <w:rPr>
        <w:b/>
        <w:bCs/>
      </w:rPr>
      <w:tblPr/>
      <w:tcPr>
        <w:tcBorders>
          <w:bottom w:val="single" w:sz="4" w:space="0" w:color="FFC000" w:themeColor="accent6"/>
        </w:tcBorders>
      </w:tcPr>
    </w:tblStylePr>
    <w:tblStylePr w:type="lastRow">
      <w:rPr>
        <w:b/>
        <w:bCs/>
      </w:rPr>
      <w:tblPr/>
      <w:tcPr>
        <w:tcBorders>
          <w:top w:val="double" w:sz="4" w:space="0" w:color="FFC000" w:themeColor="accent6"/>
        </w:tcBorders>
      </w:tcPr>
    </w:tblStylePr>
    <w:tblStylePr w:type="firstCol">
      <w:rPr>
        <w:b/>
        <w:bCs/>
      </w:rPr>
    </w:tblStylePr>
    <w:tblStylePr w:type="lastCol">
      <w:rPr>
        <w:b/>
        <w:bCs/>
      </w:rPr>
    </w:tblStylePr>
    <w:tblStylePr w:type="band1Vert">
      <w:tblPr/>
      <w:tcPr>
        <w:shd w:val="clear" w:color="auto" w:fill="FFF2CC" w:themeFill="accent6" w:themeFillTint="33"/>
      </w:tcPr>
    </w:tblStylePr>
    <w:tblStylePr w:type="band1Horz">
      <w:tblPr/>
      <w:tcPr>
        <w:shd w:val="clear" w:color="auto" w:fill="FFF2CC"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00538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0C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0C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0C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0C0" w:themeColor="accent3"/>
        </w:tcBorders>
        <w:shd w:val="clear" w:color="auto" w:fill="FFFFFF" w:themeFill="background1"/>
      </w:tcPr>
    </w:tblStylePr>
    <w:tblStylePr w:type="band1Vert">
      <w:tblPr/>
      <w:tcPr>
        <w:shd w:val="clear" w:color="auto" w:fill="BFE4FF" w:themeFill="accent3" w:themeFillTint="33"/>
      </w:tcPr>
    </w:tblStylePr>
    <w:tblStylePr w:type="band1Horz">
      <w:tblPr/>
      <w:tcPr>
        <w:shd w:val="clear" w:color="auto" w:fill="BFE4F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6DA92D"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2D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2D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2D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2D050" w:themeColor="accent4"/>
        </w:tcBorders>
        <w:shd w:val="clear" w:color="auto" w:fill="FFFFFF" w:themeFill="background1"/>
      </w:tcPr>
    </w:tblStylePr>
    <w:tblStylePr w:type="band1Vert">
      <w:tblPr/>
      <w:tcPr>
        <w:shd w:val="clear" w:color="auto" w:fill="E9F5DB" w:themeFill="accent4" w:themeFillTint="33"/>
      </w:tcPr>
    </w:tblStylePr>
    <w:tblStylePr w:type="band1Horz">
      <w:tblPr/>
      <w:tcPr>
        <w:shd w:val="clear" w:color="auto" w:fill="E9F5D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E36C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5"/>
        </w:tcBorders>
        <w:shd w:val="clear" w:color="auto" w:fill="FFFFFF" w:themeFill="background1"/>
      </w:tcPr>
    </w:tblStylePr>
    <w:tblStylePr w:type="band1Vert">
      <w:tblPr/>
      <w:tcPr>
        <w:shd w:val="clear" w:color="auto" w:fill="FDE9D9" w:themeFill="accent5" w:themeFillTint="33"/>
      </w:tcPr>
    </w:tblStylePr>
    <w:tblStylePr w:type="band1Horz">
      <w:tblPr/>
      <w:tcPr>
        <w:shd w:val="clear" w:color="auto" w:fill="FDE9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BF8F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6"/>
        </w:tcBorders>
        <w:shd w:val="clear" w:color="auto" w:fill="FFFFFF" w:themeFill="background1"/>
      </w:tcPr>
    </w:tblStylePr>
    <w:tblStylePr w:type="band1Vert">
      <w:tblPr/>
      <w:tcPr>
        <w:shd w:val="clear" w:color="auto" w:fill="FFF2CC" w:themeFill="accent6" w:themeFillTint="33"/>
      </w:tcPr>
    </w:tblStylePr>
    <w:tblStylePr w:type="band1Horz">
      <w:tblPr/>
      <w:tcPr>
        <w:shd w:val="clear" w:color="auto" w:fill="FFF2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insideV w:val="single" w:sz="8" w:space="0" w:color="109AFF" w:themeColor="accent3" w:themeTint="BF"/>
      </w:tblBorders>
    </w:tblPr>
    <w:tcPr>
      <w:shd w:val="clear" w:color="auto" w:fill="B0DDFF" w:themeFill="accent3" w:themeFillTint="3F"/>
    </w:tcPr>
    <w:tblStylePr w:type="firstRow">
      <w:rPr>
        <w:b/>
        <w:bCs/>
      </w:rPr>
    </w:tblStylePr>
    <w:tblStylePr w:type="lastRow">
      <w:rPr>
        <w:b/>
        <w:bCs/>
      </w:rPr>
      <w:tblPr/>
      <w:tcPr>
        <w:tcBorders>
          <w:top w:val="single" w:sz="18" w:space="0" w:color="109AFF" w:themeColor="accent3" w:themeTint="BF"/>
        </w:tcBorders>
      </w:tcPr>
    </w:tblStylePr>
    <w:tblStylePr w:type="firstCol">
      <w:rPr>
        <w:b/>
        <w:bCs/>
      </w:rPr>
    </w:tblStylePr>
    <w:tblStylePr w:type="lastCol">
      <w:rPr>
        <w:b/>
        <w:bCs/>
      </w:rPr>
    </w:tblStylePr>
    <w:tblStylePr w:type="band1Vert">
      <w:tblPr/>
      <w:tcPr>
        <w:shd w:val="clear" w:color="auto" w:fill="60BCFF" w:themeFill="accent3" w:themeFillTint="7F"/>
      </w:tcPr>
    </w:tblStylePr>
    <w:tblStylePr w:type="band1Horz">
      <w:tblPr/>
      <w:tcPr>
        <w:shd w:val="clear" w:color="auto" w:fill="60BCFF"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insideV w:val="single" w:sz="8" w:space="0" w:color="ADDB7B" w:themeColor="accent4" w:themeTint="BF"/>
      </w:tblBorders>
    </w:tblPr>
    <w:tcPr>
      <w:shd w:val="clear" w:color="auto" w:fill="E3F3D3" w:themeFill="accent4" w:themeFillTint="3F"/>
    </w:tcPr>
    <w:tblStylePr w:type="firstRow">
      <w:rPr>
        <w:b/>
        <w:bCs/>
      </w:rPr>
    </w:tblStylePr>
    <w:tblStylePr w:type="lastRow">
      <w:rPr>
        <w:b/>
        <w:bCs/>
      </w:rPr>
      <w:tblPr/>
      <w:tcPr>
        <w:tcBorders>
          <w:top w:val="single" w:sz="18" w:space="0" w:color="ADDB7B" w:themeColor="accent4" w:themeTint="BF"/>
        </w:tcBorders>
      </w:tcPr>
    </w:tblStylePr>
    <w:tblStylePr w:type="firstCol">
      <w:rPr>
        <w:b/>
        <w:bCs/>
      </w:rPr>
    </w:tblStylePr>
    <w:tblStylePr w:type="lastCol">
      <w:rPr>
        <w:b/>
        <w:bCs/>
      </w:rPr>
    </w:tblStylePr>
    <w:tblStylePr w:type="band1Vert">
      <w:tblPr/>
      <w:tcPr>
        <w:shd w:val="clear" w:color="auto" w:fill="C8E7A7" w:themeFill="accent4" w:themeFillTint="7F"/>
      </w:tcPr>
    </w:tblStylePr>
    <w:tblStylePr w:type="band1Horz">
      <w:tblPr/>
      <w:tcPr>
        <w:shd w:val="clear" w:color="auto" w:fill="C8E7A7"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insideV w:val="single" w:sz="8" w:space="0" w:color="F9B074" w:themeColor="accent5" w:themeTint="BF"/>
      </w:tblBorders>
    </w:tblPr>
    <w:tcPr>
      <w:shd w:val="clear" w:color="auto" w:fill="FDE4D0" w:themeFill="accent5" w:themeFillTint="3F"/>
    </w:tcPr>
    <w:tblStylePr w:type="firstRow">
      <w:rPr>
        <w:b/>
        <w:bCs/>
      </w:rPr>
    </w:tblStylePr>
    <w:tblStylePr w:type="lastRow">
      <w:rPr>
        <w:b/>
        <w:bCs/>
      </w:rPr>
      <w:tblPr/>
      <w:tcPr>
        <w:tcBorders>
          <w:top w:val="single" w:sz="18" w:space="0" w:color="F9B074" w:themeColor="accent5" w:themeTint="BF"/>
        </w:tcBorders>
      </w:tcPr>
    </w:tblStylePr>
    <w:tblStylePr w:type="firstCol">
      <w:rPr>
        <w:b/>
        <w:bCs/>
      </w:rPr>
    </w:tblStylePr>
    <w:tblStylePr w:type="lastCol">
      <w:rPr>
        <w:b/>
        <w:bCs/>
      </w:rPr>
    </w:tblStylePr>
    <w:tblStylePr w:type="band1Vert">
      <w:tblPr/>
      <w:tcPr>
        <w:shd w:val="clear" w:color="auto" w:fill="FBCAA2" w:themeFill="accent5" w:themeFillTint="7F"/>
      </w:tcPr>
    </w:tblStylePr>
    <w:tblStylePr w:type="band1Horz">
      <w:tblPr/>
      <w:tcPr>
        <w:shd w:val="clear" w:color="auto" w:fill="FBCAA2"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insideV w:val="single" w:sz="8" w:space="0" w:color="FFCF40" w:themeColor="accent6" w:themeTint="BF"/>
      </w:tblBorders>
    </w:tblPr>
    <w:tcPr>
      <w:shd w:val="clear" w:color="auto" w:fill="FFEFC0" w:themeFill="accent6" w:themeFillTint="3F"/>
    </w:tcPr>
    <w:tblStylePr w:type="firstRow">
      <w:rPr>
        <w:b/>
        <w:bCs/>
      </w:rPr>
    </w:tblStylePr>
    <w:tblStylePr w:type="lastRow">
      <w:rPr>
        <w:b/>
        <w:bCs/>
      </w:rPr>
      <w:tblPr/>
      <w:tcPr>
        <w:tcBorders>
          <w:top w:val="single" w:sz="18" w:space="0" w:color="FFCF40" w:themeColor="accent6" w:themeTint="BF"/>
        </w:tcBorders>
      </w:tcPr>
    </w:tblStylePr>
    <w:tblStylePr w:type="firstCol">
      <w:rPr>
        <w:b/>
        <w:bCs/>
      </w:rPr>
    </w:tblStylePr>
    <w:tblStylePr w:type="lastCol">
      <w:rPr>
        <w:b/>
        <w:bCs/>
      </w:rPr>
    </w:tblStylePr>
    <w:tblStylePr w:type="band1Vert">
      <w:tblPr/>
      <w:tcPr>
        <w:shd w:val="clear" w:color="auto" w:fill="FFDF80" w:themeFill="accent6" w:themeFillTint="7F"/>
      </w:tcPr>
    </w:tblStylePr>
    <w:tblStylePr w:type="band1Horz">
      <w:tblPr/>
      <w:tcPr>
        <w:shd w:val="clear" w:color="auto" w:fill="FFDF8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231F20" w:themeColor="text1"/>
      </w:rPr>
      <w:tblPr/>
      <w:tcPr>
        <w:shd w:val="clear" w:color="auto" w:fill="F8EDED"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insideH w:val="single" w:sz="8" w:space="0" w:color="0070C0" w:themeColor="accent3"/>
        <w:insideV w:val="single" w:sz="8" w:space="0" w:color="0070C0" w:themeColor="accent3"/>
      </w:tblBorders>
    </w:tblPr>
    <w:tcPr>
      <w:shd w:val="clear" w:color="auto" w:fill="B0DDFF" w:themeFill="accent3" w:themeFillTint="3F"/>
    </w:tcPr>
    <w:tblStylePr w:type="firstRow">
      <w:rPr>
        <w:b/>
        <w:bCs/>
        <w:color w:val="231F20" w:themeColor="text1"/>
      </w:rPr>
      <w:tblPr/>
      <w:tcPr>
        <w:shd w:val="clear" w:color="auto" w:fill="DFF1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FE4FF" w:themeFill="accent3" w:themeFillTint="33"/>
      </w:tcPr>
    </w:tblStylePr>
    <w:tblStylePr w:type="band1Vert">
      <w:tblPr/>
      <w:tcPr>
        <w:shd w:val="clear" w:color="auto" w:fill="60BCFF" w:themeFill="accent3" w:themeFillTint="7F"/>
      </w:tcPr>
    </w:tblStylePr>
    <w:tblStylePr w:type="band1Horz">
      <w:tblPr/>
      <w:tcPr>
        <w:tcBorders>
          <w:insideH w:val="single" w:sz="6" w:space="0" w:color="0070C0" w:themeColor="accent3"/>
          <w:insideV w:val="single" w:sz="6" w:space="0" w:color="0070C0" w:themeColor="accent3"/>
        </w:tcBorders>
        <w:shd w:val="clear" w:color="auto" w:fill="60BC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insideH w:val="single" w:sz="8" w:space="0" w:color="92D050" w:themeColor="accent4"/>
        <w:insideV w:val="single" w:sz="8" w:space="0" w:color="92D050" w:themeColor="accent4"/>
      </w:tblBorders>
    </w:tblPr>
    <w:tcPr>
      <w:shd w:val="clear" w:color="auto" w:fill="E3F3D3" w:themeFill="accent4" w:themeFillTint="3F"/>
    </w:tcPr>
    <w:tblStylePr w:type="firstRow">
      <w:rPr>
        <w:b/>
        <w:bCs/>
        <w:color w:val="231F20" w:themeColor="text1"/>
      </w:rPr>
      <w:tblPr/>
      <w:tcPr>
        <w:shd w:val="clear" w:color="auto" w:fill="F4FAED"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9F5DB" w:themeFill="accent4" w:themeFillTint="33"/>
      </w:tcPr>
    </w:tblStylePr>
    <w:tblStylePr w:type="band1Vert">
      <w:tblPr/>
      <w:tcPr>
        <w:shd w:val="clear" w:color="auto" w:fill="C8E7A7" w:themeFill="accent4" w:themeFillTint="7F"/>
      </w:tcPr>
    </w:tblStylePr>
    <w:tblStylePr w:type="band1Horz">
      <w:tblPr/>
      <w:tcPr>
        <w:tcBorders>
          <w:insideH w:val="single" w:sz="6" w:space="0" w:color="92D050" w:themeColor="accent4"/>
          <w:insideV w:val="single" w:sz="6" w:space="0" w:color="92D050" w:themeColor="accent4"/>
        </w:tcBorders>
        <w:shd w:val="clear" w:color="auto" w:fill="C8E7A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insideH w:val="single" w:sz="8" w:space="0" w:color="F79646" w:themeColor="accent5"/>
        <w:insideV w:val="single" w:sz="8" w:space="0" w:color="F79646" w:themeColor="accent5"/>
      </w:tblBorders>
    </w:tblPr>
    <w:tcPr>
      <w:shd w:val="clear" w:color="auto" w:fill="FDE4D0" w:themeFill="accent5" w:themeFillTint="3F"/>
    </w:tcPr>
    <w:tblStylePr w:type="firstRow">
      <w:rPr>
        <w:b/>
        <w:bCs/>
        <w:color w:val="231F20" w:themeColor="text1"/>
      </w:rPr>
      <w:tblPr/>
      <w:tcPr>
        <w:shd w:val="clear" w:color="auto" w:fill="FEF4EC"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E9D9" w:themeFill="accent5" w:themeFillTint="33"/>
      </w:tcPr>
    </w:tblStylePr>
    <w:tblStylePr w:type="band1Vert">
      <w:tblPr/>
      <w:tcPr>
        <w:shd w:val="clear" w:color="auto" w:fill="FBCAA2" w:themeFill="accent5" w:themeFillTint="7F"/>
      </w:tcPr>
    </w:tblStylePr>
    <w:tblStylePr w:type="band1Horz">
      <w:tblPr/>
      <w:tcPr>
        <w:tcBorders>
          <w:insideH w:val="single" w:sz="6" w:space="0" w:color="F79646" w:themeColor="accent5"/>
          <w:insideV w:val="single" w:sz="6" w:space="0" w:color="F79646" w:themeColor="accent5"/>
        </w:tcBorders>
        <w:shd w:val="clear" w:color="auto" w:fill="FBCA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insideH w:val="single" w:sz="8" w:space="0" w:color="FFC000" w:themeColor="accent6"/>
        <w:insideV w:val="single" w:sz="8" w:space="0" w:color="FFC000" w:themeColor="accent6"/>
      </w:tblBorders>
    </w:tblPr>
    <w:tcPr>
      <w:shd w:val="clear" w:color="auto" w:fill="FFEFC0" w:themeFill="accent6" w:themeFillTint="3F"/>
    </w:tcPr>
    <w:tblStylePr w:type="firstRow">
      <w:rPr>
        <w:b/>
        <w:bCs/>
        <w:color w:val="231F20" w:themeColor="text1"/>
      </w:rPr>
      <w:tblPr/>
      <w:tcPr>
        <w:shd w:val="clear" w:color="auto" w:fill="FFF8E6"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2CC" w:themeFill="accent6" w:themeFillTint="33"/>
      </w:tcPr>
    </w:tblStylePr>
    <w:tblStylePr w:type="band1Vert">
      <w:tblPr/>
      <w:tcPr>
        <w:shd w:val="clear" w:color="auto" w:fill="FFDF80" w:themeFill="accent6" w:themeFillTint="7F"/>
      </w:tcPr>
    </w:tblStylePr>
    <w:tblStylePr w:type="band1Horz">
      <w:tblPr/>
      <w:tcPr>
        <w:tcBorders>
          <w:insideH w:val="single" w:sz="6" w:space="0" w:color="FFC000" w:themeColor="accent6"/>
          <w:insideV w:val="single" w:sz="6" w:space="0" w:color="FFC000" w:themeColor="accent6"/>
        </w:tcBorders>
        <w:shd w:val="clear" w:color="auto" w:fill="FFDF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3D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2D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2D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2D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E7A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E7A7"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003263"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0070C0" w:themeColor="accent3"/>
        <w:bottom w:val="single" w:sz="8" w:space="0" w:color="0070C0" w:themeColor="accent3"/>
      </w:tblBorders>
    </w:tblPr>
    <w:tblStylePr w:type="firstRow">
      <w:rPr>
        <w:rFonts w:asciiTheme="majorHAnsi" w:eastAsiaTheme="majorEastAsia" w:hAnsiTheme="majorHAnsi" w:cstheme="majorBidi"/>
      </w:rPr>
      <w:tblPr/>
      <w:tcPr>
        <w:tcBorders>
          <w:top w:val="nil"/>
          <w:bottom w:val="single" w:sz="8" w:space="0" w:color="0070C0" w:themeColor="accent3"/>
        </w:tcBorders>
      </w:tcPr>
    </w:tblStylePr>
    <w:tblStylePr w:type="lastRow">
      <w:rPr>
        <w:b/>
        <w:bCs/>
        <w:color w:val="003263" w:themeColor="text2"/>
      </w:rPr>
      <w:tblPr/>
      <w:tcPr>
        <w:tcBorders>
          <w:top w:val="single" w:sz="8" w:space="0" w:color="0070C0" w:themeColor="accent3"/>
          <w:bottom w:val="single" w:sz="8" w:space="0" w:color="0070C0" w:themeColor="accent3"/>
        </w:tcBorders>
      </w:tcPr>
    </w:tblStylePr>
    <w:tblStylePr w:type="firstCol">
      <w:rPr>
        <w:b/>
        <w:bCs/>
      </w:rPr>
    </w:tblStylePr>
    <w:tblStylePr w:type="lastCol">
      <w:rPr>
        <w:b/>
        <w:bCs/>
      </w:rPr>
      <w:tblPr/>
      <w:tcPr>
        <w:tcBorders>
          <w:top w:val="single" w:sz="8" w:space="0" w:color="0070C0" w:themeColor="accent3"/>
          <w:bottom w:val="single" w:sz="8" w:space="0" w:color="0070C0" w:themeColor="accent3"/>
        </w:tcBorders>
      </w:tcPr>
    </w:tblStylePr>
    <w:tblStylePr w:type="band1Vert">
      <w:tblPr/>
      <w:tcPr>
        <w:shd w:val="clear" w:color="auto" w:fill="B0DDFF" w:themeFill="accent3" w:themeFillTint="3F"/>
      </w:tcPr>
    </w:tblStylePr>
    <w:tblStylePr w:type="band1Horz">
      <w:tblPr/>
      <w:tcPr>
        <w:shd w:val="clear" w:color="auto" w:fill="B0DDFF"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92D050" w:themeColor="accent4"/>
        <w:bottom w:val="single" w:sz="8" w:space="0" w:color="92D050" w:themeColor="accent4"/>
      </w:tblBorders>
    </w:tblPr>
    <w:tblStylePr w:type="firstRow">
      <w:rPr>
        <w:rFonts w:asciiTheme="majorHAnsi" w:eastAsiaTheme="majorEastAsia" w:hAnsiTheme="majorHAnsi" w:cstheme="majorBidi"/>
      </w:rPr>
      <w:tblPr/>
      <w:tcPr>
        <w:tcBorders>
          <w:top w:val="nil"/>
          <w:bottom w:val="single" w:sz="8" w:space="0" w:color="92D050" w:themeColor="accent4"/>
        </w:tcBorders>
      </w:tcPr>
    </w:tblStylePr>
    <w:tblStylePr w:type="lastRow">
      <w:rPr>
        <w:b/>
        <w:bCs/>
        <w:color w:val="003263" w:themeColor="text2"/>
      </w:rPr>
      <w:tblPr/>
      <w:tcPr>
        <w:tcBorders>
          <w:top w:val="single" w:sz="8" w:space="0" w:color="92D050" w:themeColor="accent4"/>
          <w:bottom w:val="single" w:sz="8" w:space="0" w:color="92D050" w:themeColor="accent4"/>
        </w:tcBorders>
      </w:tcPr>
    </w:tblStylePr>
    <w:tblStylePr w:type="firstCol">
      <w:rPr>
        <w:b/>
        <w:bCs/>
      </w:rPr>
    </w:tblStylePr>
    <w:tblStylePr w:type="lastCol">
      <w:rPr>
        <w:b/>
        <w:bCs/>
      </w:rPr>
      <w:tblPr/>
      <w:tcPr>
        <w:tcBorders>
          <w:top w:val="single" w:sz="8" w:space="0" w:color="92D050" w:themeColor="accent4"/>
          <w:bottom w:val="single" w:sz="8" w:space="0" w:color="92D050" w:themeColor="accent4"/>
        </w:tcBorders>
      </w:tcPr>
    </w:tblStylePr>
    <w:tblStylePr w:type="band1Vert">
      <w:tblPr/>
      <w:tcPr>
        <w:shd w:val="clear" w:color="auto" w:fill="E3F3D3" w:themeFill="accent4" w:themeFillTint="3F"/>
      </w:tcPr>
    </w:tblStylePr>
    <w:tblStylePr w:type="band1Horz">
      <w:tblPr/>
      <w:tcPr>
        <w:shd w:val="clear" w:color="auto" w:fill="E3F3D3"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F79646" w:themeColor="accent5"/>
        <w:bottom w:val="single" w:sz="8" w:space="0" w:color="F79646" w:themeColor="accent5"/>
      </w:tblBorders>
    </w:tblPr>
    <w:tblStylePr w:type="firstRow">
      <w:rPr>
        <w:rFonts w:asciiTheme="majorHAnsi" w:eastAsiaTheme="majorEastAsia" w:hAnsiTheme="majorHAnsi" w:cstheme="majorBidi"/>
      </w:rPr>
      <w:tblPr/>
      <w:tcPr>
        <w:tcBorders>
          <w:top w:val="nil"/>
          <w:bottom w:val="single" w:sz="8" w:space="0" w:color="F79646" w:themeColor="accent5"/>
        </w:tcBorders>
      </w:tcPr>
    </w:tblStylePr>
    <w:tblStylePr w:type="lastRow">
      <w:rPr>
        <w:b/>
        <w:bCs/>
        <w:color w:val="003263" w:themeColor="text2"/>
      </w:rPr>
      <w:tblPr/>
      <w:tcPr>
        <w:tcBorders>
          <w:top w:val="single" w:sz="8" w:space="0" w:color="F79646" w:themeColor="accent5"/>
          <w:bottom w:val="single" w:sz="8" w:space="0" w:color="F79646" w:themeColor="accent5"/>
        </w:tcBorders>
      </w:tcPr>
    </w:tblStylePr>
    <w:tblStylePr w:type="firstCol">
      <w:rPr>
        <w:b/>
        <w:bCs/>
      </w:rPr>
    </w:tblStylePr>
    <w:tblStylePr w:type="lastCol">
      <w:rPr>
        <w:b/>
        <w:bCs/>
      </w:rPr>
      <w:tblPr/>
      <w:tcPr>
        <w:tcBorders>
          <w:top w:val="single" w:sz="8" w:space="0" w:color="F79646" w:themeColor="accent5"/>
          <w:bottom w:val="single" w:sz="8" w:space="0" w:color="F79646" w:themeColor="accent5"/>
        </w:tcBorders>
      </w:tcPr>
    </w:tblStylePr>
    <w:tblStylePr w:type="band1Vert">
      <w:tblPr/>
      <w:tcPr>
        <w:shd w:val="clear" w:color="auto" w:fill="FDE4D0" w:themeFill="accent5" w:themeFillTint="3F"/>
      </w:tcPr>
    </w:tblStylePr>
    <w:tblStylePr w:type="band1Horz">
      <w:tblPr/>
      <w:tcPr>
        <w:shd w:val="clear" w:color="auto" w:fill="FDE4D0"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000" w:themeColor="accent6"/>
        <w:bottom w:val="single" w:sz="8" w:space="0" w:color="FFC000" w:themeColor="accent6"/>
      </w:tblBorders>
    </w:tblPr>
    <w:tblStylePr w:type="firstRow">
      <w:rPr>
        <w:rFonts w:asciiTheme="majorHAnsi" w:eastAsiaTheme="majorEastAsia" w:hAnsiTheme="majorHAnsi" w:cstheme="majorBidi"/>
      </w:rPr>
      <w:tblPr/>
      <w:tcPr>
        <w:tcBorders>
          <w:top w:val="nil"/>
          <w:bottom w:val="single" w:sz="8" w:space="0" w:color="FFC000" w:themeColor="accent6"/>
        </w:tcBorders>
      </w:tcPr>
    </w:tblStylePr>
    <w:tblStylePr w:type="lastRow">
      <w:rPr>
        <w:b/>
        <w:bCs/>
        <w:color w:val="003263" w:themeColor="text2"/>
      </w:rPr>
      <w:tblPr/>
      <w:tcPr>
        <w:tcBorders>
          <w:top w:val="single" w:sz="8" w:space="0" w:color="FFC000" w:themeColor="accent6"/>
          <w:bottom w:val="single" w:sz="8" w:space="0" w:color="FFC000" w:themeColor="accent6"/>
        </w:tcBorders>
      </w:tcPr>
    </w:tblStylePr>
    <w:tblStylePr w:type="firstCol">
      <w:rPr>
        <w:b/>
        <w:bCs/>
      </w:rPr>
    </w:tblStylePr>
    <w:tblStylePr w:type="lastCol">
      <w:rPr>
        <w:b/>
        <w:bCs/>
      </w:rPr>
      <w:tblPr/>
      <w:tcPr>
        <w:tcBorders>
          <w:top w:val="single" w:sz="8" w:space="0" w:color="FFC000" w:themeColor="accent6"/>
          <w:bottom w:val="single" w:sz="8" w:space="0" w:color="FFC000" w:themeColor="accent6"/>
        </w:tcBorders>
      </w:tcPr>
    </w:tblStylePr>
    <w:tblStylePr w:type="band1Vert">
      <w:tblPr/>
      <w:tcPr>
        <w:shd w:val="clear" w:color="auto" w:fill="FFEFC0" w:themeFill="accent6" w:themeFillTint="3F"/>
      </w:tcPr>
    </w:tblStylePr>
    <w:tblStylePr w:type="band1Horz">
      <w:tblPr/>
      <w:tcPr>
        <w:shd w:val="clear" w:color="auto" w:fill="FFEFC0"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70C0" w:themeColor="accent3"/>
        <w:left w:val="single" w:sz="8" w:space="0" w:color="0070C0" w:themeColor="accent3"/>
        <w:bottom w:val="single" w:sz="8" w:space="0" w:color="0070C0" w:themeColor="accent3"/>
        <w:right w:val="single" w:sz="8" w:space="0" w:color="0070C0" w:themeColor="accent3"/>
      </w:tblBorders>
    </w:tblPr>
    <w:tblStylePr w:type="firstRow">
      <w:rPr>
        <w:sz w:val="24"/>
        <w:szCs w:val="24"/>
      </w:rPr>
      <w:tblPr/>
      <w:tcPr>
        <w:tcBorders>
          <w:top w:val="nil"/>
          <w:left w:val="nil"/>
          <w:bottom w:val="single" w:sz="24" w:space="0" w:color="0070C0" w:themeColor="accent3"/>
          <w:right w:val="nil"/>
          <w:insideH w:val="nil"/>
          <w:insideV w:val="nil"/>
        </w:tcBorders>
        <w:shd w:val="clear" w:color="auto" w:fill="FFFFFF" w:themeFill="background1"/>
      </w:tcPr>
    </w:tblStylePr>
    <w:tblStylePr w:type="lastRow">
      <w:tblPr/>
      <w:tcPr>
        <w:tcBorders>
          <w:top w:val="single" w:sz="8" w:space="0" w:color="0070C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3"/>
          <w:insideH w:val="nil"/>
          <w:insideV w:val="nil"/>
        </w:tcBorders>
        <w:shd w:val="clear" w:color="auto" w:fill="FFFFFF" w:themeFill="background1"/>
      </w:tcPr>
    </w:tblStylePr>
    <w:tblStylePr w:type="lastCol">
      <w:tblPr/>
      <w:tcPr>
        <w:tcBorders>
          <w:top w:val="nil"/>
          <w:left w:val="single" w:sz="8" w:space="0" w:color="0070C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3" w:themeFillTint="3F"/>
      </w:tcPr>
    </w:tblStylePr>
    <w:tblStylePr w:type="band1Horz">
      <w:tblPr/>
      <w:tcPr>
        <w:tcBorders>
          <w:top w:val="nil"/>
          <w:bottom w:val="nil"/>
          <w:insideH w:val="nil"/>
          <w:insideV w:val="nil"/>
        </w:tcBorders>
        <w:shd w:val="clear" w:color="auto" w:fill="B0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2D050" w:themeColor="accent4"/>
        <w:left w:val="single" w:sz="8" w:space="0" w:color="92D050" w:themeColor="accent4"/>
        <w:bottom w:val="single" w:sz="8" w:space="0" w:color="92D050" w:themeColor="accent4"/>
        <w:right w:val="single" w:sz="8" w:space="0" w:color="92D050" w:themeColor="accent4"/>
      </w:tblBorders>
    </w:tblPr>
    <w:tblStylePr w:type="firstRow">
      <w:rPr>
        <w:sz w:val="24"/>
        <w:szCs w:val="24"/>
      </w:rPr>
      <w:tblPr/>
      <w:tcPr>
        <w:tcBorders>
          <w:top w:val="nil"/>
          <w:left w:val="nil"/>
          <w:bottom w:val="single" w:sz="24" w:space="0" w:color="92D050" w:themeColor="accent4"/>
          <w:right w:val="nil"/>
          <w:insideH w:val="nil"/>
          <w:insideV w:val="nil"/>
        </w:tcBorders>
        <w:shd w:val="clear" w:color="auto" w:fill="FFFFFF" w:themeFill="background1"/>
      </w:tcPr>
    </w:tblStylePr>
    <w:tblStylePr w:type="lastRow">
      <w:tblPr/>
      <w:tcPr>
        <w:tcBorders>
          <w:top w:val="single" w:sz="8" w:space="0" w:color="92D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2D050" w:themeColor="accent4"/>
          <w:insideH w:val="nil"/>
          <w:insideV w:val="nil"/>
        </w:tcBorders>
        <w:shd w:val="clear" w:color="auto" w:fill="FFFFFF" w:themeFill="background1"/>
      </w:tcPr>
    </w:tblStylePr>
    <w:tblStylePr w:type="lastCol">
      <w:tblPr/>
      <w:tcPr>
        <w:tcBorders>
          <w:top w:val="nil"/>
          <w:left w:val="single" w:sz="8" w:space="0" w:color="92D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3D3" w:themeFill="accent4" w:themeFillTint="3F"/>
      </w:tcPr>
    </w:tblStylePr>
    <w:tblStylePr w:type="band1Horz">
      <w:tblPr/>
      <w:tcPr>
        <w:tcBorders>
          <w:top w:val="nil"/>
          <w:bottom w:val="nil"/>
          <w:insideH w:val="nil"/>
          <w:insideV w:val="nil"/>
        </w:tcBorders>
        <w:shd w:val="clear" w:color="auto" w:fill="E3F3D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79646" w:themeColor="accent5"/>
        <w:left w:val="single" w:sz="8" w:space="0" w:color="F79646" w:themeColor="accent5"/>
        <w:bottom w:val="single" w:sz="8" w:space="0" w:color="F79646" w:themeColor="accent5"/>
        <w:right w:val="single" w:sz="8" w:space="0" w:color="F79646" w:themeColor="accent5"/>
      </w:tblBorders>
    </w:tblPr>
    <w:tblStylePr w:type="firstRow">
      <w:rPr>
        <w:sz w:val="24"/>
        <w:szCs w:val="24"/>
      </w:rPr>
      <w:tblPr/>
      <w:tcPr>
        <w:tcBorders>
          <w:top w:val="nil"/>
          <w:left w:val="nil"/>
          <w:bottom w:val="single" w:sz="24" w:space="0" w:color="F79646" w:themeColor="accent5"/>
          <w:right w:val="nil"/>
          <w:insideH w:val="nil"/>
          <w:insideV w:val="nil"/>
        </w:tcBorders>
        <w:shd w:val="clear" w:color="auto" w:fill="FFFFFF" w:themeFill="background1"/>
      </w:tcPr>
    </w:tblStylePr>
    <w:tblStylePr w:type="lastRow">
      <w:tblPr/>
      <w:tcPr>
        <w:tcBorders>
          <w:top w:val="single" w:sz="8" w:space="0" w:color="F7964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5"/>
          <w:insideH w:val="nil"/>
          <w:insideV w:val="nil"/>
        </w:tcBorders>
        <w:shd w:val="clear" w:color="auto" w:fill="FFFFFF" w:themeFill="background1"/>
      </w:tcPr>
    </w:tblStylePr>
    <w:tblStylePr w:type="lastCol">
      <w:tblPr/>
      <w:tcPr>
        <w:tcBorders>
          <w:top w:val="nil"/>
          <w:left w:val="single" w:sz="8" w:space="0" w:color="F7964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5" w:themeFillTint="3F"/>
      </w:tcPr>
    </w:tblStylePr>
    <w:tblStylePr w:type="band1Horz">
      <w:tblPr/>
      <w:tcPr>
        <w:tcBorders>
          <w:top w:val="nil"/>
          <w:bottom w:val="nil"/>
          <w:insideH w:val="nil"/>
          <w:insideV w:val="nil"/>
        </w:tcBorders>
        <w:shd w:val="clear" w:color="auto" w:fill="FDE4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000" w:themeColor="accent6"/>
        <w:left w:val="single" w:sz="8" w:space="0" w:color="FFC000" w:themeColor="accent6"/>
        <w:bottom w:val="single" w:sz="8" w:space="0" w:color="FFC000" w:themeColor="accent6"/>
        <w:right w:val="single" w:sz="8" w:space="0" w:color="FFC000" w:themeColor="accent6"/>
      </w:tblBorders>
    </w:tblPr>
    <w:tblStylePr w:type="firstRow">
      <w:rPr>
        <w:sz w:val="24"/>
        <w:szCs w:val="24"/>
      </w:rPr>
      <w:tblPr/>
      <w:tcPr>
        <w:tcBorders>
          <w:top w:val="nil"/>
          <w:left w:val="nil"/>
          <w:bottom w:val="single" w:sz="24" w:space="0" w:color="FFC000" w:themeColor="accent6"/>
          <w:right w:val="nil"/>
          <w:insideH w:val="nil"/>
          <w:insideV w:val="nil"/>
        </w:tcBorders>
        <w:shd w:val="clear" w:color="auto" w:fill="FFFFFF" w:themeFill="background1"/>
      </w:tcPr>
    </w:tblStylePr>
    <w:tblStylePr w:type="lastRow">
      <w:tblPr/>
      <w:tcPr>
        <w:tcBorders>
          <w:top w:val="single" w:sz="8" w:space="0" w:color="FFC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6"/>
          <w:insideH w:val="nil"/>
          <w:insideV w:val="nil"/>
        </w:tcBorders>
        <w:shd w:val="clear" w:color="auto" w:fill="FFFFFF" w:themeFill="background1"/>
      </w:tcPr>
    </w:tblStylePr>
    <w:tblStylePr w:type="lastCol">
      <w:tblPr/>
      <w:tcPr>
        <w:tcBorders>
          <w:top w:val="nil"/>
          <w:left w:val="single" w:sz="8" w:space="0" w:color="FFC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6" w:themeFillTint="3F"/>
      </w:tcPr>
    </w:tblStylePr>
    <w:tblStylePr w:type="band1Horz">
      <w:tblPr/>
      <w:tcPr>
        <w:tcBorders>
          <w:top w:val="nil"/>
          <w:bottom w:val="nil"/>
          <w:insideH w:val="nil"/>
          <w:insideV w:val="nil"/>
        </w:tcBorders>
        <w:shd w:val="clear" w:color="auto" w:fill="FFE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single" w:sz="8" w:space="0" w:color="109AFF" w:themeColor="accent3" w:themeTint="BF"/>
      </w:tblBorders>
    </w:tblPr>
    <w:tblStylePr w:type="firstRow">
      <w:pPr>
        <w:spacing w:before="0" w:after="0" w:line="240" w:lineRule="auto"/>
      </w:pPr>
      <w:rPr>
        <w:b/>
        <w:bCs/>
        <w:color w:val="FFFFFF" w:themeColor="background1"/>
      </w:rPr>
      <w:tblPr/>
      <w:tcPr>
        <w:tcBorders>
          <w:top w:val="single" w:sz="8"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shd w:val="clear" w:color="auto" w:fill="0070C0" w:themeFill="accent3"/>
      </w:tcPr>
    </w:tblStylePr>
    <w:tblStylePr w:type="lastRow">
      <w:pPr>
        <w:spacing w:before="0" w:after="0" w:line="240" w:lineRule="auto"/>
      </w:pPr>
      <w:rPr>
        <w:b/>
        <w:bCs/>
      </w:rPr>
      <w:tblPr/>
      <w:tcPr>
        <w:tcBorders>
          <w:top w:val="double" w:sz="6" w:space="0" w:color="109AFF" w:themeColor="accent3" w:themeTint="BF"/>
          <w:left w:val="single" w:sz="8" w:space="0" w:color="109AFF" w:themeColor="accent3" w:themeTint="BF"/>
          <w:bottom w:val="single" w:sz="8" w:space="0" w:color="109AFF" w:themeColor="accent3" w:themeTint="BF"/>
          <w:right w:val="single" w:sz="8" w:space="0" w:color="109A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3" w:themeFillTint="3F"/>
      </w:tcPr>
    </w:tblStylePr>
    <w:tblStylePr w:type="band1Horz">
      <w:tblPr/>
      <w:tcPr>
        <w:tcBorders>
          <w:insideH w:val="nil"/>
          <w:insideV w:val="nil"/>
        </w:tcBorders>
        <w:shd w:val="clear" w:color="auto" w:fill="B0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single" w:sz="8" w:space="0" w:color="ADDB7B" w:themeColor="accent4" w:themeTint="BF"/>
      </w:tblBorders>
    </w:tblPr>
    <w:tblStylePr w:type="firstRow">
      <w:pPr>
        <w:spacing w:before="0" w:after="0" w:line="240" w:lineRule="auto"/>
      </w:pPr>
      <w:rPr>
        <w:b/>
        <w:bCs/>
        <w:color w:val="FFFFFF" w:themeColor="background1"/>
      </w:rPr>
      <w:tblPr/>
      <w:tcPr>
        <w:tcBorders>
          <w:top w:val="single" w:sz="8"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shd w:val="clear" w:color="auto" w:fill="92D050" w:themeFill="accent4"/>
      </w:tcPr>
    </w:tblStylePr>
    <w:tblStylePr w:type="lastRow">
      <w:pPr>
        <w:spacing w:before="0" w:after="0" w:line="240" w:lineRule="auto"/>
      </w:pPr>
      <w:rPr>
        <w:b/>
        <w:bCs/>
      </w:rPr>
      <w:tblPr/>
      <w:tcPr>
        <w:tcBorders>
          <w:top w:val="double" w:sz="6" w:space="0" w:color="ADDB7B" w:themeColor="accent4" w:themeTint="BF"/>
          <w:left w:val="single" w:sz="8" w:space="0" w:color="ADDB7B" w:themeColor="accent4" w:themeTint="BF"/>
          <w:bottom w:val="single" w:sz="8" w:space="0" w:color="ADDB7B" w:themeColor="accent4" w:themeTint="BF"/>
          <w:right w:val="single" w:sz="8" w:space="0" w:color="ADDB7B"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F3D3" w:themeFill="accent4" w:themeFillTint="3F"/>
      </w:tcPr>
    </w:tblStylePr>
    <w:tblStylePr w:type="band1Horz">
      <w:tblPr/>
      <w:tcPr>
        <w:tcBorders>
          <w:insideH w:val="nil"/>
          <w:insideV w:val="nil"/>
        </w:tcBorders>
        <w:shd w:val="clear" w:color="auto" w:fill="E3F3D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single" w:sz="8" w:space="0" w:color="F9B074" w:themeColor="accent5" w:themeTint="BF"/>
      </w:tblBorders>
    </w:tblPr>
    <w:tblStylePr w:type="firstRow">
      <w:pPr>
        <w:spacing w:before="0" w:after="0" w:line="240" w:lineRule="auto"/>
      </w:pPr>
      <w:rPr>
        <w:b/>
        <w:bCs/>
        <w:color w:val="FFFFFF" w:themeColor="background1"/>
      </w:rPr>
      <w:tblPr/>
      <w:tcPr>
        <w:tcBorders>
          <w:top w:val="single" w:sz="8"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shd w:val="clear" w:color="auto" w:fill="F79646" w:themeFill="accent5"/>
      </w:tcPr>
    </w:tblStylePr>
    <w:tblStylePr w:type="lastRow">
      <w:pPr>
        <w:spacing w:before="0" w:after="0" w:line="240" w:lineRule="auto"/>
      </w:pPr>
      <w:rPr>
        <w:b/>
        <w:bCs/>
      </w:rPr>
      <w:tblPr/>
      <w:tcPr>
        <w:tcBorders>
          <w:top w:val="double" w:sz="6" w:space="0" w:color="F9B074" w:themeColor="accent5" w:themeTint="BF"/>
          <w:left w:val="single" w:sz="8" w:space="0" w:color="F9B074" w:themeColor="accent5" w:themeTint="BF"/>
          <w:bottom w:val="single" w:sz="8" w:space="0" w:color="F9B074" w:themeColor="accent5" w:themeTint="BF"/>
          <w:right w:val="single" w:sz="8" w:space="0" w:color="F9B074"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5" w:themeFillTint="3F"/>
      </w:tcPr>
    </w:tblStylePr>
    <w:tblStylePr w:type="band1Horz">
      <w:tblPr/>
      <w:tcPr>
        <w:tcBorders>
          <w:insideH w:val="nil"/>
          <w:insideV w:val="nil"/>
        </w:tcBorders>
        <w:shd w:val="clear" w:color="auto" w:fill="FDE4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single" w:sz="8" w:space="0" w:color="FFCF40" w:themeColor="accent6" w:themeTint="BF"/>
      </w:tblBorders>
    </w:tblPr>
    <w:tblStylePr w:type="firstRow">
      <w:pPr>
        <w:spacing w:before="0" w:after="0" w:line="240" w:lineRule="auto"/>
      </w:pPr>
      <w:rPr>
        <w:b/>
        <w:bCs/>
        <w:color w:val="FFFFFF" w:themeColor="background1"/>
      </w:rPr>
      <w:tblPr/>
      <w:tcPr>
        <w:tcBorders>
          <w:top w:val="single" w:sz="8"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shd w:val="clear" w:color="auto" w:fill="FFC000" w:themeFill="accent6"/>
      </w:tcPr>
    </w:tblStylePr>
    <w:tblStylePr w:type="lastRow">
      <w:pPr>
        <w:spacing w:before="0" w:after="0" w:line="240" w:lineRule="auto"/>
      </w:pPr>
      <w:rPr>
        <w:b/>
        <w:bCs/>
      </w:rPr>
      <w:tblPr/>
      <w:tcPr>
        <w:tcBorders>
          <w:top w:val="double" w:sz="6" w:space="0" w:color="FFCF40" w:themeColor="accent6" w:themeTint="BF"/>
          <w:left w:val="single" w:sz="8" w:space="0" w:color="FFCF40" w:themeColor="accent6" w:themeTint="BF"/>
          <w:bottom w:val="single" w:sz="8" w:space="0" w:color="FFCF40" w:themeColor="accent6" w:themeTint="BF"/>
          <w:right w:val="single" w:sz="8" w:space="0" w:color="FFC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6" w:themeFillTint="3F"/>
      </w:tcPr>
    </w:tblStylePr>
    <w:tblStylePr w:type="band1Horz">
      <w:tblPr/>
      <w:tcPr>
        <w:tcBorders>
          <w:insideH w:val="nil"/>
          <w:insideV w:val="nil"/>
        </w:tcBorders>
        <w:shd w:val="clear" w:color="auto" w:fill="FFEF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3"/>
      </w:tcPr>
    </w:tblStylePr>
    <w:tblStylePr w:type="lastCol">
      <w:rPr>
        <w:b/>
        <w:bCs/>
        <w:color w:val="FFFFFF" w:themeColor="background1"/>
      </w:rPr>
      <w:tblPr/>
      <w:tcPr>
        <w:tcBorders>
          <w:left w:val="nil"/>
          <w:right w:val="nil"/>
          <w:insideH w:val="nil"/>
          <w:insideV w:val="nil"/>
        </w:tcBorders>
        <w:shd w:val="clear" w:color="auto" w:fill="0070C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2D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2D050" w:themeFill="accent4"/>
      </w:tcPr>
    </w:tblStylePr>
    <w:tblStylePr w:type="lastCol">
      <w:rPr>
        <w:b/>
        <w:bCs/>
        <w:color w:val="FFFFFF" w:themeColor="background1"/>
      </w:rPr>
      <w:tblPr/>
      <w:tcPr>
        <w:tcBorders>
          <w:left w:val="nil"/>
          <w:right w:val="nil"/>
          <w:insideH w:val="nil"/>
          <w:insideV w:val="nil"/>
        </w:tcBorders>
        <w:shd w:val="clear" w:color="auto" w:fill="92D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5"/>
      </w:tcPr>
    </w:tblStylePr>
    <w:tblStylePr w:type="lastCol">
      <w:rPr>
        <w:b/>
        <w:bCs/>
        <w:color w:val="FFFFFF" w:themeColor="background1"/>
      </w:rPr>
      <w:tblPr/>
      <w:tcPr>
        <w:tcBorders>
          <w:left w:val="nil"/>
          <w:right w:val="nil"/>
          <w:insideH w:val="nil"/>
          <w:insideV w:val="nil"/>
        </w:tcBorders>
        <w:shd w:val="clear" w:color="auto" w:fill="F7964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6"/>
      </w:tcPr>
    </w:tblStylePr>
    <w:tblStylePr w:type="lastCol">
      <w:rPr>
        <w:b/>
        <w:bCs/>
        <w:color w:val="FFFFFF" w:themeColor="background1"/>
      </w:rPr>
      <w:tblPr/>
      <w:tcPr>
        <w:tcBorders>
          <w:left w:val="nil"/>
          <w:right w:val="nil"/>
          <w:insideH w:val="nil"/>
          <w:insideV w:val="nil"/>
        </w:tcBorders>
        <w:shd w:val="clear" w:color="auto" w:fill="FFC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basedOn w:val="Normal"/>
    <w:uiPriority w:val="34"/>
    <w:qFormat/>
    <w:rsid w:val="00861F48"/>
    <w:pPr>
      <w:spacing w:line="240" w:lineRule="auto"/>
      <w:ind w:left="720"/>
      <w:contextualSpacing/>
    </w:pPr>
    <w:rPr>
      <w:rFonts w:ascii="Arial" w:hAnsi="Arial"/>
      <w:sz w:val="20"/>
      <w:szCs w:val="20"/>
      <w:lang w:eastAsia="en-US"/>
    </w:rPr>
  </w:style>
  <w:style w:type="paragraph" w:customStyle="1" w:styleId="Introduction">
    <w:name w:val="Introduction"/>
    <w:basedOn w:val="Heading3"/>
    <w:rsid w:val="00390299"/>
    <w:rPr>
      <w:b/>
      <w:bCs/>
      <w:i w:val="0"/>
      <w:iCs/>
    </w:rPr>
  </w:style>
  <w:style w:type="character" w:styleId="CommentReference">
    <w:name w:val="annotation reference"/>
    <w:basedOn w:val="DefaultParagraphFont"/>
    <w:semiHidden/>
    <w:unhideWhenUsed/>
    <w:rsid w:val="00390299"/>
    <w:rPr>
      <w:sz w:val="16"/>
      <w:szCs w:val="16"/>
    </w:rPr>
  </w:style>
  <w:style w:type="paragraph" w:styleId="CommentText">
    <w:name w:val="annotation text"/>
    <w:basedOn w:val="Normal"/>
    <w:link w:val="CommentTextChar"/>
    <w:semiHidden/>
    <w:unhideWhenUsed/>
    <w:rsid w:val="00390299"/>
    <w:pPr>
      <w:spacing w:line="240" w:lineRule="auto"/>
    </w:pPr>
    <w:rPr>
      <w:sz w:val="20"/>
      <w:szCs w:val="20"/>
    </w:rPr>
  </w:style>
  <w:style w:type="character" w:customStyle="1" w:styleId="CommentTextChar">
    <w:name w:val="Comment Text Char"/>
    <w:basedOn w:val="DefaultParagraphFont"/>
    <w:link w:val="CommentText"/>
    <w:semiHidden/>
    <w:rsid w:val="00390299"/>
    <w:rPr>
      <w:sz w:val="20"/>
      <w:szCs w:val="20"/>
    </w:rPr>
  </w:style>
  <w:style w:type="character" w:styleId="Hyperlink">
    <w:name w:val="Hyperlink"/>
    <w:basedOn w:val="DefaultParagraphFont"/>
    <w:unhideWhenUsed/>
    <w:rsid w:val="00390299"/>
    <w:rPr>
      <w:color w:val="231F20" w:themeColor="hyperlink"/>
      <w:u w:val="single"/>
    </w:rPr>
  </w:style>
  <w:style w:type="paragraph" w:styleId="CommentSubject">
    <w:name w:val="annotation subject"/>
    <w:basedOn w:val="CommentText"/>
    <w:next w:val="CommentText"/>
    <w:link w:val="CommentSubjectChar"/>
    <w:semiHidden/>
    <w:unhideWhenUsed/>
    <w:rsid w:val="00390299"/>
    <w:rPr>
      <w:b/>
      <w:bCs/>
    </w:rPr>
  </w:style>
  <w:style w:type="character" w:customStyle="1" w:styleId="CommentSubjectChar">
    <w:name w:val="Comment Subject Char"/>
    <w:basedOn w:val="CommentTextChar"/>
    <w:link w:val="CommentSubject"/>
    <w:semiHidden/>
    <w:rsid w:val="00390299"/>
    <w:rPr>
      <w:b/>
      <w:bCs/>
      <w:sz w:val="20"/>
      <w:szCs w:val="20"/>
    </w:rPr>
  </w:style>
  <w:style w:type="character" w:styleId="UnresolvedMention">
    <w:name w:val="Unresolved Mention"/>
    <w:basedOn w:val="DefaultParagraphFont"/>
    <w:uiPriority w:val="99"/>
    <w:semiHidden/>
    <w:unhideWhenUsed/>
    <w:rsid w:val="00F478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yoursay.geelongaustralia.com.au/SRC"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engineeringplans@geelongcity.vic.gov.au"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yoursay.geelongaustralia.com.au/SRC"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v05106\AppData\Roaming\Microsoft\Templates\TRIM\Corporate%20Templates\COGG%20Info%20Sheet%20Template.DOTX"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C0504D"/>
      </a:accent2>
      <a:accent3>
        <a:srgbClr val="0070C0"/>
      </a:accent3>
      <a:accent4>
        <a:srgbClr val="92D050"/>
      </a:accent4>
      <a:accent5>
        <a:srgbClr val="F79646"/>
      </a:accent5>
      <a:accent6>
        <a:srgbClr val="FFC000"/>
      </a:accent6>
      <a:hlink>
        <a:srgbClr val="231F20"/>
      </a:hlink>
      <a:folHlink>
        <a:srgbClr val="8ACED7"/>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F9D72027558041809FB1BD0169994A" ma:contentTypeVersion="13" ma:contentTypeDescription="Create a new document." ma:contentTypeScope="" ma:versionID="3bb942b9e90331a012edb3a5b5bdd321">
  <xsd:schema xmlns:xsd="http://www.w3.org/2001/XMLSchema" xmlns:xs="http://www.w3.org/2001/XMLSchema" xmlns:p="http://schemas.microsoft.com/office/2006/metadata/properties" xmlns:ns3="5f8df244-6dff-438a-b30b-e4afef876d97" xmlns:ns4="c96a1934-8acc-47ed-be4e-7cc61c14e289" targetNamespace="http://schemas.microsoft.com/office/2006/metadata/properties" ma:root="true" ma:fieldsID="7fc5ac5d1b5be04ded584a3c13923d4a" ns3:_="" ns4:_="">
    <xsd:import namespace="5f8df244-6dff-438a-b30b-e4afef876d97"/>
    <xsd:import namespace="c96a1934-8acc-47ed-be4e-7cc61c14e28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Location" minOccurs="0"/>
                <xsd:element ref="ns3:MediaServiceAutoTags" minOccurs="0"/>
                <xsd:element ref="ns3:MediaServiceOCR"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8df244-6dff-438a-b30b-e4afef876d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6a1934-8acc-47ed-be4e-7cc61c14e2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9710032A-5C49-4CBD-B5DE-AD569A2A5924}">
  <ds:schemaRefs>
    <ds:schemaRef ds:uri="http://schemas.openxmlformats.org/officeDocument/2006/bibliography"/>
  </ds:schemaRefs>
</ds:datastoreItem>
</file>

<file path=customXml/itemProps2.xml><?xml version="1.0" encoding="utf-8"?>
<ds:datastoreItem xmlns:ds="http://schemas.openxmlformats.org/officeDocument/2006/customXml" ds:itemID="{4556B278-DF77-4F19-8957-1C00EC1B4DC0}">
  <ds:schemaRefs>
    <ds:schemaRef ds:uri="http://schemas.microsoft.com/sharepoint/v3/contenttype/forms"/>
  </ds:schemaRefs>
</ds:datastoreItem>
</file>

<file path=customXml/itemProps3.xml><?xml version="1.0" encoding="utf-8"?>
<ds:datastoreItem xmlns:ds="http://schemas.openxmlformats.org/officeDocument/2006/customXml" ds:itemID="{6D930DE4-D3AF-4556-A104-DE4EB35D15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8df244-6dff-438a-b30b-e4afef876d97"/>
    <ds:schemaRef ds:uri="c96a1934-8acc-47ed-be4e-7cc61c14e2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E03413-01E4-47D2-8CE9-7A7D23A2235F}">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FEFB74D-0CC9-42B1-ADC3-202CB67862A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Info Sheet Template.DOTX</Template>
  <TotalTime>1</TotalTime>
  <Pages>2</Pages>
  <Words>938</Words>
  <Characters>5257</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Valentine</dc:creator>
  <cp:lastModifiedBy>Jenny Zeinstra</cp:lastModifiedBy>
  <cp:revision>2</cp:revision>
  <cp:lastPrinted>2017-03-27T12:03:00Z</cp:lastPrinted>
  <dcterms:created xsi:type="dcterms:W3CDTF">2022-05-16T00:39:00Z</dcterms:created>
  <dcterms:modified xsi:type="dcterms:W3CDTF">2022-05-16T00:39:00Z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recNumber">
    <vt:lpwstr>D21-443275</vt:lpwstr>
  </property>
  <property fmtid="{D5CDD505-2E9C-101B-9397-08002B2CF9AE}" pid="3" name="ContentTypeId">
    <vt:lpwstr>0x010100F3F9D72027558041809FB1BD0169994A</vt:lpwstr>
  </property>
</Properties>
</file>